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jc w:val="center"/>
        <w:rPr>
          <w:rFonts w:ascii="仿宋" w:hAnsi="仿宋" w:eastAsia="仿宋"/>
          <w:sz w:val="44"/>
          <w:szCs w:val="44"/>
        </w:rPr>
      </w:pPr>
    </w:p>
    <w:p>
      <w:pPr>
        <w:spacing w:line="300" w:lineRule="exact"/>
        <w:jc w:val="center"/>
        <w:rPr>
          <w:rFonts w:ascii="仿宋" w:hAnsi="仿宋" w:eastAsia="仿宋"/>
          <w:sz w:val="44"/>
          <w:szCs w:val="44"/>
        </w:rPr>
      </w:pPr>
      <w:bookmarkStart w:id="0" w:name="_GoBack"/>
      <w:bookmarkEnd w:id="0"/>
    </w:p>
    <w:p>
      <w:pPr>
        <w:spacing w:beforeLines="50" w:afterLines="50" w:line="240" w:lineRule="exact"/>
        <w:rPr>
          <w:rFonts w:ascii="仿宋" w:hAnsi="仿宋" w:eastAsia="仿宋"/>
          <w:b/>
          <w:sz w:val="60"/>
          <w:szCs w:val="60"/>
        </w:rPr>
      </w:pPr>
    </w:p>
    <w:p>
      <w:pPr>
        <w:spacing w:beforeLines="50" w:afterLines="50" w:line="360" w:lineRule="auto"/>
        <w:ind w:left="3012" w:hanging="3012" w:hangingChars="500"/>
        <w:jc w:val="center"/>
        <w:rPr>
          <w:rFonts w:ascii="宋体" w:hAnsi="宋体"/>
          <w:b/>
          <w:sz w:val="60"/>
          <w:szCs w:val="60"/>
        </w:rPr>
      </w:pPr>
      <w:r>
        <w:rPr>
          <w:rFonts w:hint="eastAsia" w:ascii="宋体" w:hAnsi="宋体"/>
          <w:b/>
          <w:sz w:val="60"/>
          <w:szCs w:val="60"/>
        </w:rPr>
        <w:t>四川广元启明星铝业有限责任公司</w:t>
      </w:r>
    </w:p>
    <w:p>
      <w:pPr>
        <w:spacing w:beforeLines="50" w:afterLines="50" w:line="360" w:lineRule="auto"/>
        <w:ind w:left="3012" w:hanging="3012" w:hangingChars="500"/>
        <w:jc w:val="center"/>
        <w:rPr>
          <w:rFonts w:ascii="宋体" w:hAnsi="宋体"/>
          <w:b/>
          <w:spacing w:val="40"/>
          <w:sz w:val="60"/>
          <w:szCs w:val="60"/>
        </w:rPr>
      </w:pPr>
      <w:r>
        <w:rPr>
          <w:rFonts w:ascii="宋体" w:hAnsi="宋体"/>
          <w:b/>
          <w:sz w:val="60"/>
          <w:szCs w:val="60"/>
        </w:rPr>
        <w:drawing>
          <wp:anchor distT="0" distB="0" distL="114300" distR="114300" simplePos="0" relativeHeight="251657216" behindDoc="1" locked="0" layoutInCell="1" allowOverlap="1">
            <wp:simplePos x="0" y="0"/>
            <wp:positionH relativeFrom="column">
              <wp:posOffset>-2684780</wp:posOffset>
            </wp:positionH>
            <wp:positionV relativeFrom="paragraph">
              <wp:posOffset>554990</wp:posOffset>
            </wp:positionV>
            <wp:extent cx="6356985" cy="6260465"/>
            <wp:effectExtent l="933450" t="990600" r="977009" b="978535"/>
            <wp:wrapNone/>
            <wp:docPr id="24" name="图片 5"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公司LoGo"/>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a:xfrm rot="1382688">
                      <a:off x="0" y="0"/>
                      <a:ext cx="6357241" cy="6260465"/>
                    </a:xfrm>
                    <a:prstGeom prst="rect">
                      <a:avLst/>
                    </a:prstGeom>
                    <a:solidFill>
                      <a:srgbClr val="FFFFFF">
                        <a:alpha val="0"/>
                      </a:srgbClr>
                    </a:solidFill>
                    <a:ln>
                      <a:noFill/>
                    </a:ln>
                  </pic:spPr>
                </pic:pic>
              </a:graphicData>
            </a:graphic>
          </wp:anchor>
        </w:drawing>
      </w:r>
      <w:r>
        <w:rPr>
          <w:rFonts w:hint="eastAsia" w:ascii="宋体" w:hAnsi="宋体"/>
          <w:b/>
          <w:sz w:val="60"/>
          <w:szCs w:val="60"/>
        </w:rPr>
        <w:t>炭素阳极生产线(含房地产)</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b/>
          <w:sz w:val="84"/>
          <w:szCs w:val="84"/>
        </w:rPr>
        <w:t xml:space="preserve"> </w:t>
      </w:r>
    </w:p>
    <w:p>
      <w:pPr>
        <w:spacing w:line="300" w:lineRule="exact"/>
        <w:rPr>
          <w:rFonts w:ascii="宋体" w:hAnsi="宋体"/>
          <w:b/>
          <w:sz w:val="84"/>
          <w:szCs w:val="84"/>
        </w:rPr>
      </w:pPr>
    </w:p>
    <w:p>
      <w:pPr>
        <w:spacing w:line="1300" w:lineRule="exact"/>
        <w:jc w:val="center"/>
        <w:rPr>
          <w:rFonts w:ascii="宋体" w:hAnsi="宋体"/>
          <w:b/>
          <w:sz w:val="84"/>
          <w:szCs w:val="84"/>
        </w:rPr>
      </w:pPr>
      <w:r>
        <w:rPr>
          <w:rFonts w:hint="eastAsia" w:ascii="宋体" w:hAnsi="宋体"/>
          <w:b/>
          <w:sz w:val="84"/>
          <w:szCs w:val="84"/>
        </w:rPr>
        <w:t>拍</w:t>
      </w:r>
    </w:p>
    <w:p>
      <w:pPr>
        <w:spacing w:line="1300" w:lineRule="exact"/>
        <w:jc w:val="center"/>
        <w:rPr>
          <w:rFonts w:ascii="宋体" w:hAnsi="宋体"/>
          <w:b/>
          <w:sz w:val="84"/>
          <w:szCs w:val="84"/>
        </w:rPr>
      </w:pPr>
      <w:r>
        <w:rPr>
          <w:rFonts w:hint="eastAsia" w:ascii="宋体" w:hAnsi="宋体"/>
          <w:b/>
          <w:sz w:val="84"/>
          <w:szCs w:val="84"/>
        </w:rPr>
        <w:t>卖</w:t>
      </w:r>
    </w:p>
    <w:p>
      <w:pPr>
        <w:spacing w:line="1300" w:lineRule="exact"/>
        <w:jc w:val="center"/>
        <w:rPr>
          <w:rFonts w:ascii="宋体" w:hAnsi="宋体"/>
          <w:b/>
          <w:sz w:val="84"/>
          <w:szCs w:val="84"/>
        </w:rPr>
      </w:pPr>
      <w:r>
        <w:rPr>
          <w:rFonts w:hint="eastAsia" w:ascii="宋体" w:hAnsi="宋体"/>
          <w:b/>
          <w:sz w:val="84"/>
          <w:szCs w:val="84"/>
        </w:rPr>
        <w:t>文</w:t>
      </w:r>
    </w:p>
    <w:p>
      <w:pPr>
        <w:spacing w:line="1300" w:lineRule="exact"/>
        <w:jc w:val="center"/>
        <w:rPr>
          <w:rFonts w:ascii="宋体" w:hAnsi="宋体"/>
          <w:b/>
          <w:sz w:val="84"/>
          <w:szCs w:val="84"/>
        </w:rPr>
      </w:pPr>
      <w:r>
        <w:rPr>
          <w:rFonts w:hint="eastAsia" w:ascii="宋体" w:hAnsi="宋体"/>
          <w:b/>
          <w:sz w:val="84"/>
          <w:szCs w:val="84"/>
        </w:rPr>
        <w:t>件</w:t>
      </w:r>
    </w:p>
    <w:p>
      <w:pPr>
        <w:rPr>
          <w:rFonts w:ascii="宋体" w:hAnsi="宋体"/>
          <w:sz w:val="24"/>
        </w:rPr>
      </w:pPr>
    </w:p>
    <w:p>
      <w:pPr>
        <w:spacing w:line="240" w:lineRule="exact"/>
        <w:jc w:val="center"/>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jc w:val="center"/>
        <w:rPr>
          <w:rFonts w:ascii="宋体" w:hAnsi="宋体"/>
          <w:b/>
          <w:spacing w:val="40"/>
          <w:sz w:val="36"/>
          <w:szCs w:val="36"/>
        </w:rPr>
      </w:pPr>
      <w:r>
        <w:rPr>
          <w:rFonts w:hint="eastAsia" w:ascii="宋体" w:hAnsi="宋体"/>
          <w:b/>
          <w:spacing w:val="40"/>
          <w:sz w:val="36"/>
          <w:szCs w:val="36"/>
        </w:rPr>
        <w:t>广元市拍卖有限公司</w:t>
      </w:r>
    </w:p>
    <w:p>
      <w:pPr>
        <w:jc w:val="center"/>
        <w:rPr>
          <w:rFonts w:ascii="宋体" w:hAnsi="宋体"/>
          <w:b/>
          <w:spacing w:val="40"/>
          <w:sz w:val="36"/>
          <w:szCs w:val="36"/>
        </w:rPr>
      </w:pPr>
      <w:r>
        <w:rPr>
          <w:rFonts w:hint="eastAsia" w:ascii="宋体" w:hAnsi="宋体"/>
          <w:b/>
          <w:spacing w:val="40"/>
          <w:sz w:val="36"/>
          <w:szCs w:val="36"/>
        </w:rPr>
        <w:t>二零二一年三月</w:t>
      </w:r>
    </w:p>
    <w:p>
      <w:pPr>
        <w:jc w:val="center"/>
        <w:rPr>
          <w:rFonts w:ascii="仿宋" w:hAnsi="仿宋" w:eastAsia="仿宋"/>
          <w:b/>
          <w:sz w:val="52"/>
          <w:szCs w:val="52"/>
        </w:rPr>
      </w:pPr>
    </w:p>
    <w:p>
      <w:pPr>
        <w:jc w:val="center"/>
        <w:rPr>
          <w:rFonts w:ascii="宋体" w:hAnsi="宋体"/>
          <w:b/>
          <w:sz w:val="52"/>
          <w:szCs w:val="52"/>
        </w:rPr>
      </w:pPr>
      <w:r>
        <w:rPr>
          <w:rFonts w:hint="eastAsia" w:ascii="宋体" w:hAnsi="宋体"/>
          <w:b/>
          <w:sz w:val="52"/>
          <w:szCs w:val="52"/>
        </w:rPr>
        <w:t>目   录</w:t>
      </w:r>
    </w:p>
    <w:p>
      <w:pPr>
        <w:jc w:val="center"/>
        <w:rPr>
          <w:rFonts w:ascii="仿宋" w:hAnsi="仿宋" w:eastAsia="仿宋"/>
          <w:sz w:val="44"/>
          <w:szCs w:val="44"/>
        </w:rPr>
      </w:pPr>
    </w:p>
    <w:p>
      <w:pPr>
        <w:spacing w:line="900" w:lineRule="auto"/>
        <w:jc w:val="distribute"/>
        <w:rPr>
          <w:rFonts w:ascii="仿宋" w:hAnsi="仿宋" w:eastAsia="仿宋"/>
          <w:sz w:val="32"/>
          <w:szCs w:val="32"/>
        </w:rPr>
      </w:pPr>
      <w:r>
        <w:rPr>
          <w:rFonts w:hint="eastAsia" w:ascii="仿宋" w:hAnsi="仿宋" w:eastAsia="仿宋"/>
          <w:b/>
          <w:sz w:val="32"/>
          <w:szCs w:val="32"/>
        </w:rPr>
        <w:t>一、</w:t>
      </w:r>
      <w:r>
        <w:rPr>
          <w:rFonts w:hint="eastAsia" w:ascii="仿宋" w:hAnsi="仿宋" w:eastAsia="仿宋"/>
          <w:sz w:val="32"/>
          <w:szCs w:val="32"/>
        </w:rPr>
        <w:t>拍卖公告………………………………………………………2-3</w:t>
      </w:r>
    </w:p>
    <w:p>
      <w:pPr>
        <w:spacing w:line="900" w:lineRule="auto"/>
        <w:jc w:val="distribute"/>
        <w:rPr>
          <w:rFonts w:ascii="仿宋" w:hAnsi="仿宋" w:eastAsia="仿宋"/>
          <w:sz w:val="32"/>
          <w:szCs w:val="32"/>
        </w:rPr>
      </w:pPr>
      <w:r>
        <w:rPr>
          <w:rFonts w:hint="eastAsia" w:ascii="仿宋" w:hAnsi="仿宋" w:eastAsia="仿宋"/>
          <w:b/>
          <w:sz w:val="32"/>
          <w:szCs w:val="32"/>
        </w:rPr>
        <w:t>二、</w:t>
      </w:r>
      <w:r>
        <w:rPr>
          <w:rFonts w:hint="eastAsia" w:ascii="仿宋" w:hAnsi="仿宋" w:eastAsia="仿宋"/>
          <w:sz w:val="32"/>
          <w:szCs w:val="32"/>
        </w:rPr>
        <w:t>竞买须知………………………………………………………4-7</w:t>
      </w:r>
    </w:p>
    <w:p>
      <w:pPr>
        <w:spacing w:line="900" w:lineRule="auto"/>
        <w:jc w:val="distribute"/>
        <w:rPr>
          <w:rFonts w:ascii="仿宋" w:hAnsi="仿宋" w:eastAsia="仿宋"/>
          <w:sz w:val="32"/>
          <w:szCs w:val="32"/>
        </w:rPr>
      </w:pPr>
      <w:r>
        <w:rPr>
          <w:rFonts w:hint="eastAsia" w:ascii="仿宋" w:hAnsi="仿宋" w:eastAsia="仿宋"/>
          <w:b/>
          <w:sz w:val="32"/>
          <w:szCs w:val="32"/>
        </w:rPr>
        <w:t>三、</w:t>
      </w:r>
      <w:r>
        <w:rPr>
          <w:rFonts w:hint="eastAsia" w:ascii="仿宋" w:hAnsi="仿宋" w:eastAsia="仿宋"/>
          <w:sz w:val="32"/>
          <w:szCs w:val="32"/>
        </w:rPr>
        <w:t>拍卖规则………………………………………………………8-10</w:t>
      </w:r>
    </w:p>
    <w:p>
      <w:pPr>
        <w:spacing w:line="900" w:lineRule="auto"/>
        <w:jc w:val="distribute"/>
        <w:rPr>
          <w:rFonts w:ascii="仿宋" w:hAnsi="仿宋" w:eastAsia="仿宋"/>
          <w:sz w:val="32"/>
          <w:szCs w:val="32"/>
        </w:rPr>
      </w:pPr>
      <w:r>
        <w:rPr>
          <w:rFonts w:hint="eastAsia" w:ascii="仿宋" w:hAnsi="仿宋" w:eastAsia="仿宋"/>
          <w:b/>
          <w:sz w:val="32"/>
          <w:szCs w:val="32"/>
        </w:rPr>
        <w:t>四、</w:t>
      </w:r>
      <w:r>
        <w:rPr>
          <w:rFonts w:hint="eastAsia" w:ascii="仿宋" w:hAnsi="仿宋" w:eastAsia="仿宋"/>
          <w:sz w:val="32"/>
          <w:szCs w:val="32"/>
        </w:rPr>
        <w:t>拍卖纪律………………………………………………………11</w:t>
      </w:r>
    </w:p>
    <w:p>
      <w:pPr>
        <w:spacing w:line="900" w:lineRule="auto"/>
        <w:jc w:val="distribute"/>
        <w:rPr>
          <w:rFonts w:ascii="仿宋" w:hAnsi="仿宋" w:eastAsia="仿宋"/>
          <w:sz w:val="32"/>
          <w:szCs w:val="32"/>
        </w:rPr>
      </w:pPr>
      <w:r>
        <w:rPr>
          <w:rFonts w:hint="eastAsia" w:ascii="仿宋" w:hAnsi="仿宋" w:eastAsia="仿宋"/>
          <w:b/>
          <w:sz w:val="32"/>
          <w:szCs w:val="32"/>
        </w:rPr>
        <w:t>五、</w:t>
      </w:r>
      <w:r>
        <w:rPr>
          <w:rFonts w:hint="eastAsia" w:ascii="仿宋" w:hAnsi="仿宋" w:eastAsia="仿宋"/>
          <w:sz w:val="32"/>
          <w:szCs w:val="32"/>
        </w:rPr>
        <w:t>拍卖会程序………………………………………………………12</w:t>
      </w:r>
    </w:p>
    <w:p>
      <w:pPr>
        <w:spacing w:line="900" w:lineRule="auto"/>
        <w:jc w:val="distribute"/>
        <w:rPr>
          <w:rFonts w:ascii="仿宋" w:hAnsi="仿宋" w:eastAsia="仿宋"/>
          <w:sz w:val="32"/>
          <w:szCs w:val="32"/>
        </w:rPr>
      </w:pPr>
      <w:r>
        <w:rPr>
          <w:rFonts w:hint="eastAsia" w:ascii="仿宋" w:hAnsi="仿宋" w:eastAsia="仿宋"/>
          <w:b/>
          <w:sz w:val="32"/>
          <w:szCs w:val="32"/>
        </w:rPr>
        <w:t>六、</w:t>
      </w:r>
      <w:r>
        <w:rPr>
          <w:rFonts w:hint="eastAsia" w:ascii="仿宋" w:hAnsi="仿宋" w:eastAsia="仿宋"/>
          <w:sz w:val="32"/>
          <w:szCs w:val="32"/>
        </w:rPr>
        <w:t>竞买协议（现场拍卖）……………………………………13-16</w:t>
      </w:r>
    </w:p>
    <w:p>
      <w:pPr>
        <w:spacing w:line="900" w:lineRule="auto"/>
        <w:jc w:val="distribute"/>
        <w:rPr>
          <w:rFonts w:ascii="仿宋" w:hAnsi="仿宋" w:eastAsia="仿宋"/>
          <w:sz w:val="32"/>
          <w:szCs w:val="32"/>
        </w:rPr>
      </w:pPr>
      <w:r>
        <w:rPr>
          <w:rFonts w:hint="eastAsia" w:ascii="仿宋" w:hAnsi="仿宋" w:eastAsia="仿宋"/>
          <w:b/>
          <w:sz w:val="32"/>
          <w:szCs w:val="32"/>
        </w:rPr>
        <w:t>七、</w:t>
      </w:r>
      <w:r>
        <w:rPr>
          <w:rFonts w:hint="eastAsia" w:ascii="仿宋" w:hAnsi="仿宋" w:eastAsia="仿宋"/>
          <w:sz w:val="32"/>
          <w:szCs w:val="32"/>
        </w:rPr>
        <w:t>竞买协议（网络拍卖）……………………………………17-21</w:t>
      </w:r>
    </w:p>
    <w:p>
      <w:pPr>
        <w:spacing w:line="900" w:lineRule="auto"/>
        <w:jc w:val="distribute"/>
        <w:rPr>
          <w:rFonts w:ascii="仿宋" w:hAnsi="仿宋" w:eastAsia="仿宋"/>
          <w:sz w:val="32"/>
          <w:szCs w:val="32"/>
        </w:rPr>
      </w:pPr>
      <w:r>
        <w:rPr>
          <w:rFonts w:hint="eastAsia" w:ascii="仿宋" w:hAnsi="仿宋" w:eastAsia="仿宋"/>
          <w:b/>
          <w:sz w:val="32"/>
          <w:szCs w:val="32"/>
        </w:rPr>
        <w:t>八、</w:t>
      </w:r>
      <w:r>
        <w:rPr>
          <w:rFonts w:hint="eastAsia" w:ascii="仿宋" w:hAnsi="仿宋" w:eastAsia="仿宋"/>
          <w:sz w:val="32"/>
          <w:szCs w:val="32"/>
        </w:rPr>
        <w:t>拍卖标的简介及拍卖资产清单………………………………22-86</w:t>
      </w: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pStyle w:val="2"/>
        <w:spacing w:line="500" w:lineRule="exact"/>
        <w:ind w:firstLine="0" w:firstLineChars="0"/>
        <w:jc w:val="left"/>
        <w:rPr>
          <w:rFonts w:hAnsi="Times New Roman"/>
        </w:rPr>
      </w:pPr>
    </w:p>
    <w:p>
      <w:pPr>
        <w:pStyle w:val="2"/>
        <w:spacing w:line="500" w:lineRule="exact"/>
        <w:ind w:firstLine="723"/>
        <w:jc w:val="center"/>
        <w:rPr>
          <w:rFonts w:hAnsi="Times New Roman"/>
          <w:b/>
          <w:sz w:val="36"/>
          <w:szCs w:val="36"/>
        </w:rPr>
      </w:pPr>
      <w:r>
        <w:rPr>
          <w:rFonts w:hint="eastAsia" w:hAnsi="Times New Roman"/>
          <w:b/>
          <w:sz w:val="36"/>
          <w:szCs w:val="36"/>
        </w:rPr>
        <w:t>广元市拍卖有限公司</w:t>
      </w:r>
    </w:p>
    <w:p>
      <w:pPr>
        <w:pStyle w:val="2"/>
        <w:spacing w:line="500" w:lineRule="exact"/>
        <w:ind w:firstLine="723"/>
        <w:jc w:val="center"/>
        <w:rPr>
          <w:rFonts w:hAnsi="Times New Roman"/>
          <w:b/>
          <w:sz w:val="36"/>
          <w:szCs w:val="36"/>
        </w:rPr>
      </w:pPr>
      <w:r>
        <w:rPr>
          <w:rFonts w:hint="eastAsia" w:hAnsi="Times New Roman"/>
          <w:b/>
          <w:sz w:val="36"/>
          <w:szCs w:val="36"/>
        </w:rPr>
        <w:t>铝用炭素阳极生产线资产拍卖公告</w:t>
      </w:r>
    </w:p>
    <w:p>
      <w:pPr>
        <w:pStyle w:val="2"/>
        <w:spacing w:line="360" w:lineRule="exact"/>
        <w:jc w:val="left"/>
        <w:rPr>
          <w:rFonts w:hAnsi="Times New Roman"/>
        </w:rPr>
      </w:pP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受委托,我公司定于2021年4月7日10:00在我公司拍卖厅和中国拍卖行业协会网络平台（http://www.caa123.org.cn）同步拍卖以下标的，现公告如下：</w:t>
      </w:r>
    </w:p>
    <w:p>
      <w:pPr>
        <w:pStyle w:val="2"/>
        <w:spacing w:line="500" w:lineRule="exact"/>
        <w:ind w:firstLine="562"/>
        <w:jc w:val="left"/>
        <w:rPr>
          <w:rFonts w:ascii="仿宋" w:hAnsi="仿宋" w:eastAsia="仿宋"/>
          <w:b/>
          <w:sz w:val="28"/>
          <w:szCs w:val="28"/>
        </w:rPr>
      </w:pPr>
      <w:r>
        <w:rPr>
          <w:rFonts w:hint="eastAsia" w:ascii="仿宋" w:hAnsi="仿宋" w:eastAsia="仿宋"/>
          <w:b/>
          <w:sz w:val="28"/>
          <w:szCs w:val="28"/>
        </w:rPr>
        <w:t>一、拍卖标的</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位于四川省广元经济技术开发区袁家坝工业园区下列资产：</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1、工业用途土地使用权面积约250.86亩，出让期限至2053年10月16日止；</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2、房屋建筑物：房屋60幢，建筑面积约56335㎡；</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3、构筑物(含3个煅后料仓、３个筒仓及两个烟囱)；</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4、机器设备（含炭素阳极生产线、余热电厂）。</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上述资产为电解铝用炭素阳极生产线设备设施及房屋构筑物，整体拍卖。其名称、型号、数量、质量、状态等以交付时现场实物为准;土地使用权及建筑物面积以产权管理部门最终确权为准。</w:t>
      </w:r>
    </w:p>
    <w:p>
      <w:pPr>
        <w:pStyle w:val="2"/>
        <w:spacing w:line="500" w:lineRule="exact"/>
        <w:ind w:firstLine="562"/>
        <w:jc w:val="left"/>
        <w:rPr>
          <w:rFonts w:ascii="仿宋" w:hAnsi="仿宋" w:eastAsia="仿宋"/>
          <w:b/>
          <w:sz w:val="28"/>
          <w:szCs w:val="28"/>
        </w:rPr>
      </w:pPr>
      <w:r>
        <w:rPr>
          <w:rFonts w:hint="eastAsia" w:ascii="仿宋" w:hAnsi="仿宋" w:eastAsia="仿宋"/>
          <w:b/>
          <w:sz w:val="28"/>
          <w:szCs w:val="28"/>
        </w:rPr>
        <w:t>二、拍卖方式:有保留价增价拍卖。</w:t>
      </w:r>
    </w:p>
    <w:p>
      <w:pPr>
        <w:pStyle w:val="2"/>
        <w:spacing w:line="500" w:lineRule="exact"/>
        <w:ind w:firstLine="562"/>
        <w:jc w:val="left"/>
        <w:rPr>
          <w:rFonts w:ascii="仿宋" w:hAnsi="仿宋" w:eastAsia="仿宋"/>
          <w:b/>
          <w:sz w:val="28"/>
          <w:szCs w:val="28"/>
        </w:rPr>
      </w:pPr>
      <w:r>
        <w:rPr>
          <w:rFonts w:hint="eastAsia" w:ascii="仿宋" w:hAnsi="仿宋" w:eastAsia="仿宋"/>
          <w:b/>
          <w:sz w:val="28"/>
          <w:szCs w:val="28"/>
        </w:rPr>
        <w:t>三、参 考 价:人民币12760万元。</w:t>
      </w:r>
    </w:p>
    <w:p>
      <w:pPr>
        <w:pStyle w:val="2"/>
        <w:spacing w:line="500" w:lineRule="exact"/>
        <w:ind w:firstLine="562"/>
        <w:jc w:val="left"/>
        <w:rPr>
          <w:rFonts w:ascii="仿宋" w:hAnsi="仿宋" w:eastAsia="仿宋"/>
          <w:sz w:val="28"/>
          <w:szCs w:val="28"/>
        </w:rPr>
      </w:pPr>
      <w:r>
        <w:rPr>
          <w:rFonts w:hint="eastAsia" w:ascii="仿宋" w:hAnsi="仿宋" w:eastAsia="仿宋"/>
          <w:b/>
          <w:sz w:val="28"/>
          <w:szCs w:val="28"/>
        </w:rPr>
        <w:t>四、竞买人条件：</w:t>
      </w:r>
      <w:r>
        <w:rPr>
          <w:rFonts w:hint="eastAsia" w:ascii="仿宋" w:hAnsi="仿宋" w:eastAsia="仿宋"/>
          <w:sz w:val="28"/>
          <w:szCs w:val="28"/>
        </w:rPr>
        <w:t>符合国家法律、法规规定的法人、自然人均可参加竞买。竞买人可单独竞买，也可联合竞买。</w:t>
      </w:r>
    </w:p>
    <w:p>
      <w:pPr>
        <w:pStyle w:val="2"/>
        <w:spacing w:line="500" w:lineRule="exact"/>
        <w:ind w:firstLine="562"/>
        <w:jc w:val="left"/>
        <w:rPr>
          <w:rFonts w:ascii="仿宋" w:hAnsi="仿宋" w:eastAsia="仿宋"/>
          <w:sz w:val="28"/>
          <w:szCs w:val="28"/>
        </w:rPr>
      </w:pPr>
      <w:r>
        <w:rPr>
          <w:rFonts w:hint="eastAsia" w:ascii="仿宋" w:hAnsi="仿宋" w:eastAsia="仿宋"/>
          <w:b/>
          <w:sz w:val="28"/>
          <w:szCs w:val="28"/>
        </w:rPr>
        <w:t>五、竞买保证金：</w:t>
      </w:r>
      <w:r>
        <w:rPr>
          <w:rFonts w:hint="eastAsia" w:ascii="仿宋" w:hAnsi="仿宋" w:eastAsia="仿宋"/>
          <w:sz w:val="28"/>
          <w:szCs w:val="28"/>
        </w:rPr>
        <w:t>竞买人须于2021年4月2日16:00前通过银行转账方式交纳竞买保证金人民币2000万元，具体以到达我公司银行账户时间为准。保证金请转入以下账户：</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户 名：广元市拍卖有限公司</w:t>
      </w:r>
      <w:r>
        <w:rPr>
          <w:rFonts w:hint="eastAsia" w:ascii="仿宋" w:hAnsi="仿宋" w:eastAsia="仿宋"/>
          <w:sz w:val="28"/>
          <w:szCs w:val="28"/>
        </w:rPr>
        <w:tab/>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账 号：22272101040006378</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开户行：农行广元市分行营业部</w:t>
      </w:r>
    </w:p>
    <w:p>
      <w:pPr>
        <w:pStyle w:val="2"/>
        <w:spacing w:line="500" w:lineRule="exact"/>
        <w:ind w:firstLine="562"/>
        <w:jc w:val="left"/>
        <w:rPr>
          <w:rFonts w:ascii="仿宋" w:hAnsi="仿宋" w:eastAsia="仿宋"/>
          <w:b/>
          <w:sz w:val="28"/>
          <w:szCs w:val="28"/>
        </w:rPr>
      </w:pPr>
      <w:r>
        <w:rPr>
          <w:rFonts w:hint="eastAsia" w:ascii="仿宋" w:hAnsi="仿宋" w:eastAsia="仿宋"/>
          <w:b/>
          <w:sz w:val="28"/>
          <w:szCs w:val="28"/>
        </w:rPr>
        <w:t>六、报名事项</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1、有意竞买者请于2021年3月4日至2021年4月2日持有关证件到我公司履行报名手续，获取拍卖文件。</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2、竞买人须在规定时间内完成报名事宜、交纳竞买保证金。</w:t>
      </w:r>
    </w:p>
    <w:p>
      <w:pPr>
        <w:pStyle w:val="2"/>
        <w:spacing w:line="500" w:lineRule="exact"/>
        <w:ind w:firstLine="562"/>
        <w:jc w:val="left"/>
        <w:rPr>
          <w:rFonts w:ascii="仿宋" w:hAnsi="仿宋" w:eastAsia="仿宋"/>
          <w:sz w:val="28"/>
          <w:szCs w:val="28"/>
        </w:rPr>
      </w:pPr>
      <w:r>
        <w:rPr>
          <w:rFonts w:hint="eastAsia" w:ascii="仿宋" w:hAnsi="仿宋" w:eastAsia="仿宋"/>
          <w:b/>
          <w:sz w:val="28"/>
          <w:szCs w:val="28"/>
        </w:rPr>
        <w:t>七、</w:t>
      </w:r>
      <w:r>
        <w:rPr>
          <w:rFonts w:hint="eastAsia" w:ascii="仿宋" w:hAnsi="仿宋" w:eastAsia="仿宋"/>
          <w:sz w:val="28"/>
          <w:szCs w:val="28"/>
        </w:rPr>
        <w:t>自公告之日起至2021年4月2日止在原址就地展示拍卖标的。竞买人应实地查验、了解标的现状及瑕疵。</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本公告未尽事宜以拍卖文件为准。</w:t>
      </w:r>
    </w:p>
    <w:p>
      <w:pPr>
        <w:pStyle w:val="2"/>
        <w:spacing w:line="500" w:lineRule="exact"/>
        <w:ind w:firstLine="562"/>
        <w:jc w:val="left"/>
        <w:rPr>
          <w:rFonts w:ascii="仿宋" w:hAnsi="仿宋" w:eastAsia="仿宋"/>
          <w:b/>
          <w:sz w:val="28"/>
          <w:szCs w:val="28"/>
        </w:rPr>
      </w:pPr>
      <w:r>
        <w:rPr>
          <w:rFonts w:hint="eastAsia" w:ascii="仿宋" w:hAnsi="仿宋" w:eastAsia="仿宋"/>
          <w:b/>
          <w:sz w:val="28"/>
          <w:szCs w:val="28"/>
        </w:rPr>
        <w:t>八、联系地址及联系人</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地  址：四川省广元市利州区万达广场晶座A12-2号</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联系人：章先生 13808128254</w:t>
      </w:r>
    </w:p>
    <w:p>
      <w:pPr>
        <w:pStyle w:val="2"/>
        <w:spacing w:line="500" w:lineRule="exact"/>
        <w:ind w:firstLine="1680" w:firstLineChars="600"/>
        <w:jc w:val="left"/>
        <w:rPr>
          <w:rFonts w:ascii="仿宋" w:hAnsi="仿宋" w:eastAsia="仿宋"/>
          <w:sz w:val="28"/>
          <w:szCs w:val="28"/>
        </w:rPr>
      </w:pPr>
      <w:r>
        <w:rPr>
          <w:rFonts w:hint="eastAsia" w:ascii="仿宋" w:hAnsi="仿宋" w:eastAsia="仿宋"/>
          <w:sz w:val="28"/>
          <w:szCs w:val="28"/>
        </w:rPr>
        <w:t xml:space="preserve">王女士 19940773422 (0839-3262339)          </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网   址：http://www.gya123.com</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微信公众号：gypm123</w:t>
      </w:r>
    </w:p>
    <w:p>
      <w:pPr>
        <w:pStyle w:val="2"/>
        <w:spacing w:line="500" w:lineRule="exact"/>
        <w:ind w:firstLine="560"/>
        <w:jc w:val="left"/>
        <w:rPr>
          <w:rFonts w:ascii="仿宋" w:hAnsi="仿宋" w:eastAsia="仿宋"/>
          <w:sz w:val="28"/>
          <w:szCs w:val="28"/>
        </w:rPr>
      </w:pPr>
    </w:p>
    <w:p>
      <w:pPr>
        <w:pStyle w:val="2"/>
        <w:spacing w:line="500" w:lineRule="exact"/>
        <w:ind w:firstLine="560"/>
        <w:jc w:val="left"/>
        <w:rPr>
          <w:rFonts w:ascii="仿宋" w:hAnsi="仿宋" w:eastAsia="仿宋"/>
          <w:sz w:val="28"/>
          <w:szCs w:val="28"/>
        </w:rPr>
      </w:pPr>
    </w:p>
    <w:p>
      <w:pPr>
        <w:pStyle w:val="2"/>
        <w:spacing w:line="500" w:lineRule="exact"/>
        <w:ind w:firstLine="560"/>
        <w:jc w:val="left"/>
        <w:rPr>
          <w:rFonts w:ascii="仿宋" w:hAnsi="仿宋" w:eastAsia="仿宋"/>
          <w:sz w:val="28"/>
          <w:szCs w:val="28"/>
        </w:rPr>
      </w:pPr>
    </w:p>
    <w:p>
      <w:pPr>
        <w:pStyle w:val="2"/>
        <w:spacing w:line="500" w:lineRule="exact"/>
        <w:ind w:firstLine="560"/>
        <w:jc w:val="right"/>
        <w:rPr>
          <w:rFonts w:ascii="仿宋" w:hAnsi="仿宋" w:eastAsia="仿宋"/>
          <w:sz w:val="28"/>
          <w:szCs w:val="28"/>
        </w:rPr>
      </w:pPr>
      <w:r>
        <w:rPr>
          <w:rFonts w:hint="eastAsia" w:ascii="仿宋" w:hAnsi="仿宋" w:eastAsia="仿宋"/>
          <w:sz w:val="28"/>
          <w:szCs w:val="28"/>
        </w:rPr>
        <w:t>广元市拍卖有限公司</w:t>
      </w:r>
    </w:p>
    <w:p>
      <w:pPr>
        <w:pStyle w:val="2"/>
        <w:spacing w:line="500" w:lineRule="exact"/>
        <w:ind w:firstLine="560"/>
        <w:jc w:val="right"/>
        <w:rPr>
          <w:rFonts w:ascii="仿宋" w:hAnsi="仿宋" w:eastAsia="仿宋"/>
          <w:sz w:val="28"/>
          <w:szCs w:val="28"/>
        </w:rPr>
      </w:pPr>
      <w:r>
        <w:rPr>
          <w:rFonts w:hint="eastAsia" w:ascii="仿宋" w:hAnsi="仿宋" w:eastAsia="仿宋"/>
          <w:sz w:val="28"/>
          <w:szCs w:val="28"/>
        </w:rPr>
        <w:t>2021年3月3日</w:t>
      </w:r>
    </w:p>
    <w:p>
      <w:pPr>
        <w:pStyle w:val="2"/>
        <w:spacing w:line="500" w:lineRule="exact"/>
        <w:jc w:val="left"/>
        <w:rPr>
          <w:rFonts w:hAnsi="Times New Roman"/>
        </w:rPr>
      </w:pPr>
    </w:p>
    <w:p>
      <w:pPr>
        <w:pStyle w:val="2"/>
        <w:spacing w:line="500" w:lineRule="exact"/>
        <w:ind w:firstLine="0" w:firstLineChars="0"/>
        <w:jc w:val="left"/>
        <w:rPr>
          <w:rFonts w:ascii="仿宋" w:hAnsi="仿宋" w:eastAsia="仿宋"/>
          <w:b/>
          <w:sz w:val="28"/>
          <w:szCs w:val="28"/>
        </w:rPr>
      </w:pPr>
    </w:p>
    <w:p>
      <w:pPr>
        <w:pStyle w:val="2"/>
        <w:spacing w:line="500" w:lineRule="exact"/>
        <w:ind w:firstLine="0" w:firstLineChars="0"/>
        <w:jc w:val="left"/>
        <w:rPr>
          <w:rFonts w:ascii="仿宋" w:hAnsi="仿宋" w:eastAsia="仿宋"/>
          <w:b/>
          <w:sz w:val="28"/>
          <w:szCs w:val="28"/>
        </w:rPr>
      </w:pPr>
    </w:p>
    <w:p>
      <w:pPr>
        <w:pStyle w:val="2"/>
        <w:spacing w:line="500" w:lineRule="exact"/>
        <w:ind w:firstLine="0" w:firstLineChars="0"/>
        <w:jc w:val="left"/>
        <w:rPr>
          <w:rFonts w:ascii="仿宋" w:hAnsi="仿宋" w:eastAsia="仿宋"/>
          <w:b/>
          <w:sz w:val="28"/>
          <w:szCs w:val="28"/>
        </w:rPr>
      </w:pPr>
    </w:p>
    <w:p>
      <w:pPr>
        <w:pStyle w:val="2"/>
        <w:spacing w:line="500" w:lineRule="exact"/>
        <w:ind w:firstLine="0" w:firstLineChars="0"/>
        <w:jc w:val="left"/>
        <w:rPr>
          <w:rFonts w:ascii="仿宋" w:hAnsi="仿宋" w:eastAsia="仿宋"/>
          <w:b/>
          <w:sz w:val="28"/>
          <w:szCs w:val="28"/>
        </w:rPr>
      </w:pPr>
    </w:p>
    <w:p>
      <w:pPr>
        <w:pStyle w:val="2"/>
        <w:spacing w:line="500" w:lineRule="exact"/>
        <w:ind w:firstLine="0" w:firstLineChars="0"/>
        <w:jc w:val="left"/>
        <w:rPr>
          <w:rFonts w:ascii="仿宋" w:hAnsi="仿宋" w:eastAsia="仿宋"/>
          <w:b/>
          <w:sz w:val="28"/>
          <w:szCs w:val="28"/>
        </w:rPr>
      </w:pPr>
    </w:p>
    <w:p>
      <w:pPr>
        <w:pStyle w:val="2"/>
        <w:spacing w:line="500" w:lineRule="exact"/>
        <w:ind w:firstLine="0" w:firstLineChars="0"/>
        <w:jc w:val="left"/>
        <w:rPr>
          <w:rFonts w:ascii="仿宋" w:hAnsi="仿宋" w:eastAsia="仿宋"/>
          <w:b/>
          <w:sz w:val="28"/>
          <w:szCs w:val="28"/>
        </w:rPr>
      </w:pPr>
    </w:p>
    <w:p>
      <w:pPr>
        <w:pStyle w:val="2"/>
        <w:spacing w:line="500" w:lineRule="exact"/>
        <w:ind w:firstLine="0" w:firstLineChars="0"/>
        <w:jc w:val="left"/>
        <w:rPr>
          <w:rFonts w:ascii="仿宋" w:hAnsi="仿宋" w:eastAsia="仿宋"/>
          <w:b/>
          <w:sz w:val="28"/>
          <w:szCs w:val="28"/>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jc w:val="center"/>
        <w:rPr>
          <w:rFonts w:ascii="宋体" w:hAnsi="宋体"/>
          <w:b/>
          <w:spacing w:val="20"/>
          <w:sz w:val="18"/>
          <w:szCs w:val="18"/>
        </w:rPr>
      </w:pPr>
    </w:p>
    <w:p>
      <w:pPr>
        <w:jc w:val="center"/>
        <w:rPr>
          <w:rFonts w:ascii="宋体" w:hAnsi="宋体"/>
          <w:b/>
          <w:spacing w:val="20"/>
          <w:sz w:val="18"/>
          <w:szCs w:val="18"/>
        </w:rPr>
      </w:pPr>
    </w:p>
    <w:p>
      <w:pPr>
        <w:jc w:val="center"/>
        <w:rPr>
          <w:rFonts w:ascii="宋体" w:hAnsi="宋体"/>
          <w:b/>
          <w:spacing w:val="20"/>
          <w:sz w:val="36"/>
          <w:szCs w:val="36"/>
        </w:rPr>
      </w:pPr>
      <w:r>
        <w:rPr>
          <w:rFonts w:hint="eastAsia" w:ascii="宋体" w:hAnsi="宋体"/>
          <w:b/>
          <w:spacing w:val="20"/>
          <w:sz w:val="36"/>
          <w:szCs w:val="36"/>
        </w:rPr>
        <w:t>广元市拍卖有限公司</w:t>
      </w:r>
    </w:p>
    <w:p>
      <w:pPr>
        <w:pStyle w:val="3"/>
        <w:spacing w:after="0" w:line="360" w:lineRule="auto"/>
        <w:jc w:val="center"/>
        <w:rPr>
          <w:rFonts w:ascii="宋体" w:hAnsi="宋体"/>
          <w:b/>
          <w:spacing w:val="30"/>
          <w:sz w:val="36"/>
          <w:szCs w:val="36"/>
        </w:rPr>
      </w:pPr>
      <w:r>
        <w:rPr>
          <w:rFonts w:hint="eastAsia" w:ascii="宋体" w:hAnsi="宋体"/>
          <w:b/>
          <w:spacing w:val="30"/>
          <w:sz w:val="36"/>
          <w:szCs w:val="36"/>
        </w:rPr>
        <w:t>竞买须知</w:t>
      </w:r>
    </w:p>
    <w:p>
      <w:pPr>
        <w:widowControl/>
        <w:shd w:val="clear" w:color="auto" w:fill="FFFFFF"/>
        <w:spacing w:line="200" w:lineRule="exact"/>
        <w:ind w:firstLine="548" w:firstLineChars="196"/>
        <w:jc w:val="left"/>
        <w:rPr>
          <w:rFonts w:ascii="楷体_GB2312" w:hAnsi="宋体" w:eastAsia="楷体_GB2312" w:cs="Arial"/>
          <w:kern w:val="0"/>
          <w:sz w:val="28"/>
          <w:szCs w:val="28"/>
        </w:rPr>
      </w:pPr>
    </w:p>
    <w:p>
      <w:pPr>
        <w:widowControl/>
        <w:shd w:val="clear" w:color="auto" w:fill="FFFFFF"/>
        <w:ind w:firstLine="560" w:firstLineChars="200"/>
        <w:jc w:val="left"/>
        <w:rPr>
          <w:rFonts w:ascii="仿宋" w:hAnsi="仿宋" w:eastAsia="仿宋" w:cs="Arial"/>
          <w:kern w:val="0"/>
          <w:sz w:val="28"/>
          <w:szCs w:val="28"/>
        </w:rPr>
      </w:pPr>
      <w:r>
        <w:rPr>
          <w:rFonts w:hint="eastAsia" w:ascii="仿宋" w:hAnsi="仿宋" w:eastAsia="仿宋" w:cs="Arial"/>
          <w:kern w:val="0"/>
          <w:sz w:val="28"/>
          <w:szCs w:val="28"/>
        </w:rPr>
        <w:t>广元市拍卖有限公司将于2021年4月7日10:00在我公司拍卖厅和中国拍卖行业协会网络拍卖平台（https://paimai.caa123.org.cn）同步进行公开拍卖活动，现就有关的网络竞价事宜敬告各位竞买人：</w:t>
      </w:r>
    </w:p>
    <w:p>
      <w:pPr>
        <w:widowControl/>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一、</w:t>
      </w:r>
      <w:r>
        <w:rPr>
          <w:rFonts w:hint="eastAsia" w:ascii="微软雅黑" w:hAnsi="微软雅黑" w:eastAsia="仿宋" w:cs="宋体"/>
          <w:b/>
          <w:bCs/>
          <w:kern w:val="0"/>
          <w:sz w:val="28"/>
          <w:szCs w:val="28"/>
        </w:rPr>
        <w:t> </w:t>
      </w:r>
      <w:r>
        <w:rPr>
          <w:rFonts w:hint="eastAsia" w:ascii="仿宋" w:hAnsi="仿宋" w:eastAsia="仿宋" w:cs="宋体"/>
          <w:b/>
          <w:bCs/>
          <w:kern w:val="0"/>
          <w:sz w:val="28"/>
          <w:szCs w:val="28"/>
        </w:rPr>
        <w:t>拍卖标的</w:t>
      </w:r>
    </w:p>
    <w:p>
      <w:pPr>
        <w:ind w:firstLine="562" w:firstLineChars="200"/>
        <w:jc w:val="left"/>
        <w:rPr>
          <w:rFonts w:ascii="仿宋" w:hAnsi="仿宋" w:eastAsia="仿宋" w:cs="仿宋"/>
          <w:bCs/>
          <w:sz w:val="28"/>
          <w:szCs w:val="28"/>
        </w:rPr>
      </w:pPr>
      <w:r>
        <w:rPr>
          <w:rFonts w:hint="eastAsia" w:ascii="仿宋" w:hAnsi="仿宋" w:eastAsia="仿宋" w:cs="仿宋"/>
          <w:b/>
          <w:bCs/>
          <w:sz w:val="28"/>
          <w:szCs w:val="28"/>
        </w:rPr>
        <w:t>（一）</w:t>
      </w:r>
      <w:r>
        <w:rPr>
          <w:rFonts w:hint="eastAsia" w:ascii="仿宋" w:hAnsi="仿宋" w:eastAsia="仿宋" w:cs="仿宋"/>
          <w:bCs/>
          <w:sz w:val="28"/>
          <w:szCs w:val="28"/>
        </w:rPr>
        <w:t>位于四川省广元经济技术开发区袁家坝工业园区下列资产（详见拍卖标的资产清单）：</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t>1、工业用途土地使用权以围墙为界面积约250.86亩，出让期限至2053年10月16日止；</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t>2、房屋建筑物：房屋60幢，建筑面积约56335㎡；</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t>3、构筑物(含3个煅后料仓、３个筒仓及两个烟囱)；</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t>4、机器设备（含炭素阳极生产线、余热电厂）。</w:t>
      </w:r>
    </w:p>
    <w:p>
      <w:pPr>
        <w:widowControl/>
        <w:shd w:val="clear" w:color="auto" w:fill="FFFFFF"/>
        <w:ind w:firstLine="480"/>
        <w:jc w:val="left"/>
        <w:rPr>
          <w:rFonts w:ascii="仿宋" w:hAnsi="仿宋" w:eastAsia="仿宋" w:cs="宋体"/>
          <w:kern w:val="0"/>
          <w:sz w:val="28"/>
          <w:szCs w:val="28"/>
        </w:rPr>
      </w:pPr>
      <w:r>
        <w:rPr>
          <w:rFonts w:hint="eastAsia" w:ascii="仿宋" w:hAnsi="仿宋" w:eastAsia="仿宋" w:cs="宋体"/>
          <w:b/>
          <w:bCs/>
          <w:kern w:val="0"/>
          <w:sz w:val="28"/>
          <w:szCs w:val="28"/>
        </w:rPr>
        <w:t>（二）重要提示</w:t>
      </w:r>
    </w:p>
    <w:p>
      <w:pPr>
        <w:widowControl/>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1、竞买人竞拍前请务必遵照《拍卖文件》的要求，进行实地看样、了解、核实标的物相关信息、瑕疵等事宜。</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2、本《竞买须知》</w:t>
      </w:r>
      <w:r>
        <w:rPr>
          <w:rFonts w:ascii="仿宋" w:hAnsi="仿宋" w:eastAsia="仿宋" w:cs="宋体"/>
          <w:kern w:val="0"/>
          <w:sz w:val="28"/>
          <w:szCs w:val="28"/>
        </w:rPr>
        <w:t>对</w:t>
      </w:r>
      <w:r>
        <w:rPr>
          <w:rFonts w:hint="eastAsia" w:ascii="仿宋" w:hAnsi="仿宋" w:eastAsia="仿宋" w:cs="宋体"/>
          <w:kern w:val="0"/>
          <w:sz w:val="28"/>
          <w:szCs w:val="28"/>
        </w:rPr>
        <w:t>标的所作的说明，仅为竞买人参与竞买提供参考，其产品名称、型号、数量、质量、状态等以交付时现场实物为准;土地使用权证载面积为191，934.09㎡(约287.90亩)，纳入本次拍卖标的范围的面积以围墙为界，目前公告为167,245.82㎡(约250.86亩)，拍卖会举行时或拍卖成交后土地使用权面积有可能变动，其具体面积以产权管理部门最终权为准，对超公告面积部分土地价格以本次破产评估价格为基准单独作相应调整。</w:t>
      </w:r>
    </w:p>
    <w:p>
      <w:pPr>
        <w:shd w:val="clear" w:color="auto" w:fill="FFFFFF"/>
        <w:ind w:firstLine="562" w:firstLineChars="200"/>
        <w:jc w:val="left"/>
        <w:rPr>
          <w:rFonts w:ascii="仿宋" w:hAnsi="仿宋" w:eastAsia="仿宋" w:cs="宋体"/>
          <w:b/>
          <w:kern w:val="0"/>
          <w:sz w:val="28"/>
          <w:szCs w:val="28"/>
        </w:rPr>
      </w:pPr>
      <w:r>
        <w:rPr>
          <w:rFonts w:hint="eastAsia" w:ascii="仿宋" w:hAnsi="仿宋" w:eastAsia="仿宋" w:cs="宋体"/>
          <w:b/>
          <w:kern w:val="0"/>
          <w:sz w:val="28"/>
          <w:szCs w:val="28"/>
        </w:rPr>
        <w:t>3、本次拍卖标的以现状为准(含法理现状和实物现状)，拍卖人与管理人不承担《资产清单》中资产的瑕疵保证责任。除拍卖文件披露外，竞买人应对拍卖标的的实际使用状况、性能、质量以及瑕疵（含显性、隐性瑕疵）等自行调查核实、承担投资风险。拍卖人与管理人对评估及《资产清单》形成之后的正常消耗、减损不承担法律责任。</w:t>
      </w:r>
    </w:p>
    <w:p>
      <w:pPr>
        <w:ind w:firstLine="560" w:firstLineChars="200"/>
        <w:jc w:val="left"/>
        <w:rPr>
          <w:rFonts w:ascii="仿宋" w:hAnsi="仿宋" w:eastAsia="仿宋"/>
          <w:b/>
          <w:sz w:val="28"/>
          <w:szCs w:val="28"/>
          <w:u w:val="single"/>
        </w:rPr>
      </w:pPr>
      <w:r>
        <w:rPr>
          <w:rFonts w:hint="eastAsia" w:ascii="仿宋" w:hAnsi="仿宋" w:eastAsia="仿宋" w:cs="Arial"/>
          <w:kern w:val="0"/>
          <w:sz w:val="28"/>
          <w:szCs w:val="28"/>
        </w:rPr>
        <w:t>4、参加网络拍卖会的竞买人应于拍卖会前在中拍平台实名登记注册，注册成功后请按竞拍流程的提示进行操作。若竞买人未开设中国拍卖网络平台账户，可委托拍卖人代理(委托代理手续需在报名截止前办理）。</w:t>
      </w:r>
    </w:p>
    <w:p>
      <w:pPr>
        <w:pStyle w:val="7"/>
        <w:widowControl w:val="0"/>
        <w:shd w:val="clear" w:color="auto" w:fill="FFFFFF"/>
        <w:spacing w:before="0" w:beforeAutospacing="0" w:after="0" w:afterAutospacing="0"/>
        <w:ind w:firstLine="562" w:firstLineChars="200"/>
        <w:rPr>
          <w:rFonts w:ascii="仿宋" w:hAnsi="仿宋" w:eastAsia="仿宋" w:cs="Arial"/>
          <w:sz w:val="28"/>
          <w:szCs w:val="28"/>
        </w:rPr>
      </w:pPr>
      <w:r>
        <w:rPr>
          <w:rFonts w:hint="eastAsia" w:ascii="仿宋" w:hAnsi="仿宋" w:eastAsia="仿宋"/>
          <w:b/>
          <w:sz w:val="28"/>
          <w:szCs w:val="28"/>
        </w:rPr>
        <w:t>二、</w:t>
      </w:r>
      <w:r>
        <w:rPr>
          <w:rFonts w:hint="eastAsia" w:ascii="仿宋" w:hAnsi="仿宋" w:eastAsia="仿宋" w:cs="Arial"/>
          <w:sz w:val="28"/>
          <w:szCs w:val="28"/>
          <w:shd w:val="clear" w:color="auto" w:fill="FFFFFF"/>
        </w:rPr>
        <w:t>竞买过程中，网络竞买人应妥善保管好自己账号和密码，并对该账户的竞价行为承担法律责任。若账号由他人持有使用，一律视为竞买人本人的行为，由此造成的后果由竞买人承担。</w:t>
      </w:r>
    </w:p>
    <w:p>
      <w:pPr>
        <w:pStyle w:val="7"/>
        <w:widowControl w:val="0"/>
        <w:shd w:val="clear" w:color="auto" w:fill="FFFFFF"/>
        <w:spacing w:before="0" w:beforeAutospacing="0" w:after="0" w:afterAutospacing="0"/>
        <w:ind w:firstLine="562" w:firstLineChars="200"/>
        <w:rPr>
          <w:rFonts w:ascii="仿宋" w:hAnsi="仿宋" w:eastAsia="仿宋" w:cs="Arial"/>
          <w:sz w:val="28"/>
          <w:szCs w:val="28"/>
        </w:rPr>
      </w:pPr>
      <w:r>
        <w:rPr>
          <w:rFonts w:hint="eastAsia" w:ascii="仿宋" w:hAnsi="仿宋" w:eastAsia="仿宋"/>
          <w:b/>
          <w:sz w:val="28"/>
          <w:szCs w:val="28"/>
          <w:shd w:val="clear" w:color="auto" w:fill="FFFFFF"/>
        </w:rPr>
        <w:t>三、</w:t>
      </w:r>
      <w:r>
        <w:rPr>
          <w:rFonts w:hint="eastAsia" w:ascii="仿宋" w:hAnsi="仿宋" w:eastAsia="仿宋"/>
          <w:sz w:val="28"/>
          <w:szCs w:val="28"/>
          <w:shd w:val="clear" w:color="auto" w:fill="FFFFFF"/>
        </w:rPr>
        <w:t>由于互联网可能出现不稳定情况，不排除网络竞价发生故障（包括但不限于网络故障、电路故障、系统故障）以及被网络黑客恶意攻击的可能，网络竞买人必须充分估计上述原因导致网络竞价不同于现场竞价所带来的风险，如果发生上述情况以及本人操作差错所造成的损失由网络竞买人承担。</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四、咨询看样</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2021年3月3日至2021年4月2日止（节假日除外）。</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五、竞买人条件</w:t>
      </w:r>
    </w:p>
    <w:p>
      <w:pPr>
        <w:pStyle w:val="7"/>
        <w:widowControl w:val="0"/>
        <w:spacing w:before="0" w:beforeAutospacing="0" w:after="0" w:afterAutospacing="0"/>
        <w:ind w:firstLine="560" w:firstLineChars="200"/>
        <w:rPr>
          <w:rFonts w:ascii="仿宋" w:hAnsi="仿宋" w:eastAsia="仿宋" w:cs="仿宋_GB2312"/>
          <w:sz w:val="28"/>
          <w:szCs w:val="28"/>
        </w:rPr>
      </w:pPr>
      <w:r>
        <w:rPr>
          <w:rFonts w:hint="eastAsia" w:ascii="仿宋" w:hAnsi="仿宋" w:eastAsia="仿宋"/>
          <w:sz w:val="28"/>
          <w:szCs w:val="28"/>
        </w:rPr>
        <w:t>1、</w:t>
      </w:r>
      <w:r>
        <w:rPr>
          <w:rFonts w:hint="eastAsia" w:ascii="仿宋" w:hAnsi="仿宋" w:eastAsia="仿宋" w:cs="仿宋_GB2312"/>
          <w:sz w:val="28"/>
          <w:szCs w:val="28"/>
        </w:rPr>
        <w:t>符合国家法律、法规规定的法人、自然人均可参加竞买。竞买人可单独竞买，也可联合竞买。</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2、竞买人可委托代理人（具备完全民事行为能力的自然人）进行，但须在竞买开始前办理书面委托手续并提交拍卖人；如委托手续不全，拍卖人有权拒绝其代理行为。</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3、因不符合条件参加竞买的，由竞买人自行承担相应的法律责任。</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六、拍卖方式</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本次拍卖采取有底价增价拍卖方式。</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七、网络拍卖延时</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本次拍卖活动设置延时出价功能，在拍卖活动结束前，最后5分钟如果有竞买人出价，将自动延迟5分钟，直至无人竞价止。</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八、税费及其他费用承担</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标的物转让登记手续由买受人自行办理，管理人和拍卖人将给予一切必要的协助。标的物转让登记所涉及的税费由买受人和委托人按国家规定各自承担相应部分。</w:t>
      </w:r>
    </w:p>
    <w:p>
      <w:pPr>
        <w:shd w:val="clear" w:color="auto" w:fill="FFFFFF"/>
        <w:ind w:firstLine="562" w:firstLineChars="200"/>
        <w:jc w:val="left"/>
        <w:rPr>
          <w:rFonts w:ascii="仿宋" w:hAnsi="仿宋" w:eastAsia="仿宋" w:cs="宋体"/>
          <w:b/>
          <w:bCs/>
          <w:kern w:val="0"/>
          <w:sz w:val="28"/>
          <w:szCs w:val="28"/>
        </w:rPr>
      </w:pPr>
      <w:r>
        <w:rPr>
          <w:rFonts w:hint="eastAsia" w:ascii="仿宋" w:hAnsi="仿宋" w:eastAsia="仿宋" w:cs="宋体"/>
          <w:b/>
          <w:bCs/>
          <w:kern w:val="0"/>
          <w:sz w:val="28"/>
          <w:szCs w:val="28"/>
        </w:rPr>
        <w:t>九、价款的支付</w:t>
      </w:r>
    </w:p>
    <w:p>
      <w:pPr>
        <w:ind w:firstLine="560" w:firstLineChars="200"/>
        <w:rPr>
          <w:rFonts w:ascii="仿宋" w:hAnsi="仿宋" w:eastAsia="仿宋"/>
          <w:sz w:val="28"/>
          <w:szCs w:val="28"/>
        </w:rPr>
      </w:pPr>
      <w:r>
        <w:rPr>
          <w:rFonts w:hint="eastAsia" w:ascii="仿宋" w:hAnsi="仿宋" w:eastAsia="仿宋"/>
          <w:sz w:val="28"/>
          <w:szCs w:val="28"/>
        </w:rPr>
        <w:t>买受人须在拍卖成交之日起</w:t>
      </w:r>
      <w:r>
        <w:rPr>
          <w:rFonts w:hint="eastAsia" w:ascii="仿宋" w:hAnsi="仿宋" w:eastAsia="仿宋"/>
          <w:sz w:val="28"/>
          <w:szCs w:val="28"/>
          <w:u w:val="single"/>
        </w:rPr>
        <w:t>20个工作日内付清拍卖总价款的50%，剩余50%的价款在60日内付清</w:t>
      </w:r>
      <w:r>
        <w:rPr>
          <w:rFonts w:hint="eastAsia" w:ascii="仿宋" w:hAnsi="仿宋" w:eastAsia="仿宋"/>
          <w:sz w:val="28"/>
          <w:szCs w:val="28"/>
        </w:rPr>
        <w:t>。</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十、竞买保证金的交纳和退回</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w:t>
      </w:r>
      <w:r>
        <w:rPr>
          <w:rFonts w:hint="eastAsia" w:ascii="仿宋" w:hAnsi="仿宋" w:eastAsia="仿宋" w:cs="宋体"/>
          <w:spacing w:val="-4"/>
          <w:kern w:val="0"/>
          <w:sz w:val="28"/>
          <w:szCs w:val="28"/>
        </w:rPr>
        <w:t>竞买人须在规定时间内履行报名手续，交纳竞买保证金人民币2000万元</w:t>
      </w:r>
      <w:r>
        <w:rPr>
          <w:rFonts w:hint="eastAsia" w:ascii="仿宋" w:hAnsi="仿宋" w:eastAsia="仿宋" w:cs="宋体"/>
          <w:kern w:val="0"/>
          <w:sz w:val="28"/>
          <w:szCs w:val="28"/>
        </w:rPr>
        <w:t>；</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2、竞买人若成功竞得拍卖标的即成为买受人，所交纳的竞买保证金在扣除向拍卖人支付的佣金后，剩余部分转作履约定金；</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3、未成交的竞买人所交纳的竞买保证金在3个工作日内退回（不计息）；</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4、拍卖成交后买受人悔拍的，其交纳的竞买保证金不予退还，在扣除拍卖佣金后，归属于委托人用于清偿债务。</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十一、标的的交付</w:t>
      </w:r>
    </w:p>
    <w:p>
      <w:pPr>
        <w:ind w:firstLine="560" w:firstLineChars="200"/>
        <w:jc w:val="left"/>
        <w:rPr>
          <w:rFonts w:ascii="仿宋" w:hAnsi="仿宋" w:eastAsia="仿宋"/>
          <w:sz w:val="28"/>
          <w:szCs w:val="28"/>
        </w:rPr>
      </w:pPr>
      <w:r>
        <w:rPr>
          <w:rFonts w:hint="eastAsia" w:ascii="仿宋" w:hAnsi="仿宋" w:eastAsia="仿宋"/>
          <w:sz w:val="28"/>
          <w:szCs w:val="28"/>
        </w:rPr>
        <w:t>买受人在拍卖成交价款付清之日起</w:t>
      </w:r>
      <w:r>
        <w:rPr>
          <w:rFonts w:hint="eastAsia" w:ascii="仿宋" w:hAnsi="仿宋" w:eastAsia="仿宋"/>
          <w:sz w:val="28"/>
          <w:szCs w:val="28"/>
          <w:u w:val="single"/>
        </w:rPr>
        <w:t xml:space="preserve"> 10 </w:t>
      </w:r>
      <w:r>
        <w:rPr>
          <w:rFonts w:hint="eastAsia" w:ascii="仿宋" w:hAnsi="仿宋" w:eastAsia="仿宋"/>
          <w:sz w:val="28"/>
          <w:szCs w:val="28"/>
        </w:rPr>
        <w:t>个工作日内，委托人在收到拍卖人出具的《拍卖回执书》后，由委托人在原址按现状向买受人移交实物标的，拍卖人协助监督移交。交付方式包括房屋现场指认、单价5万元以上的实物盘点及权属凭证的移交。</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十二、特别提示</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（一）标的物以移交时现场实物现状为准，拍卖人及管理人不承担瑕疵担保责任。有意者请亲自实地看样，未看样的竞买人视为对本标的实物现状的确认，责任自负。</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（二）与本标的物有利害关系的人可参加竞拍。</w:t>
      </w:r>
    </w:p>
    <w:p>
      <w:pPr>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（三）在拍卖竞价前请务必再仔细阅读本拍卖人发布的拍卖文件。</w:t>
      </w:r>
    </w:p>
    <w:p>
      <w:pPr>
        <w:shd w:val="clear" w:color="auto" w:fill="FFFFFF"/>
        <w:ind w:firstLine="562" w:firstLineChars="200"/>
        <w:jc w:val="left"/>
        <w:rPr>
          <w:rFonts w:ascii="仿宋" w:hAnsi="仿宋" w:eastAsia="仿宋" w:cs="宋体"/>
          <w:kern w:val="0"/>
          <w:sz w:val="28"/>
          <w:szCs w:val="28"/>
        </w:rPr>
      </w:pPr>
      <w:r>
        <w:rPr>
          <w:rFonts w:hint="eastAsia" w:ascii="仿宋" w:hAnsi="仿宋" w:eastAsia="仿宋" w:cs="宋体"/>
          <w:b/>
          <w:kern w:val="0"/>
          <w:sz w:val="28"/>
          <w:szCs w:val="28"/>
        </w:rPr>
        <w:t>十三、</w:t>
      </w:r>
      <w:r>
        <w:rPr>
          <w:rFonts w:hint="eastAsia" w:ascii="仿宋" w:hAnsi="仿宋" w:eastAsia="仿宋" w:cs="宋体"/>
          <w:kern w:val="0"/>
          <w:sz w:val="28"/>
          <w:szCs w:val="28"/>
        </w:rPr>
        <w:t>标的在开拍前，委托人有中止、撤回拍卖的权利。中止、撤回拍卖后，委托人和拍卖人不承担因此造成竞买人的误工费、路费、预交保证金利息等责任。</w:t>
      </w:r>
    </w:p>
    <w:p>
      <w:pPr>
        <w:spacing w:line="280" w:lineRule="exact"/>
        <w:ind w:firstLine="562" w:firstLineChars="200"/>
        <w:rPr>
          <w:rFonts w:ascii="仿宋" w:hAnsi="仿宋" w:eastAsia="仿宋"/>
          <w:b/>
          <w:sz w:val="28"/>
          <w:szCs w:val="28"/>
        </w:rPr>
      </w:pPr>
    </w:p>
    <w:p>
      <w:pPr>
        <w:spacing w:line="280" w:lineRule="exact"/>
        <w:ind w:firstLine="562" w:firstLineChars="200"/>
        <w:rPr>
          <w:rFonts w:ascii="仿宋" w:hAnsi="仿宋" w:eastAsia="仿宋"/>
          <w:b/>
          <w:sz w:val="28"/>
          <w:szCs w:val="28"/>
        </w:rPr>
      </w:pPr>
    </w:p>
    <w:p>
      <w:pPr>
        <w:snapToGrid w:val="0"/>
        <w:spacing w:line="240" w:lineRule="exact"/>
        <w:ind w:right="142" w:firstLine="4620" w:firstLineChars="1650"/>
        <w:jc w:val="right"/>
        <w:rPr>
          <w:rFonts w:ascii="仿宋" w:hAnsi="仿宋" w:eastAsia="仿宋" w:cs="Arial"/>
          <w:kern w:val="0"/>
          <w:sz w:val="28"/>
          <w:szCs w:val="28"/>
        </w:rPr>
      </w:pPr>
    </w:p>
    <w:p>
      <w:pPr>
        <w:snapToGrid w:val="0"/>
        <w:spacing w:line="240" w:lineRule="exact"/>
        <w:ind w:right="142" w:firstLine="4620" w:firstLineChars="1650"/>
        <w:jc w:val="right"/>
        <w:rPr>
          <w:rFonts w:ascii="仿宋" w:hAnsi="仿宋" w:eastAsia="仿宋" w:cs="Arial"/>
          <w:kern w:val="0"/>
          <w:sz w:val="28"/>
          <w:szCs w:val="28"/>
        </w:rPr>
      </w:pPr>
    </w:p>
    <w:p>
      <w:pPr>
        <w:snapToGrid w:val="0"/>
        <w:spacing w:line="240" w:lineRule="exact"/>
        <w:ind w:right="142" w:firstLine="4620" w:firstLineChars="1650"/>
        <w:jc w:val="right"/>
        <w:rPr>
          <w:rFonts w:ascii="仿宋" w:hAnsi="仿宋" w:eastAsia="仿宋" w:cs="Arial"/>
          <w:kern w:val="0"/>
          <w:sz w:val="28"/>
          <w:szCs w:val="28"/>
        </w:rPr>
      </w:pPr>
    </w:p>
    <w:p>
      <w:pPr>
        <w:wordWrap w:val="0"/>
        <w:snapToGrid w:val="0"/>
        <w:spacing w:line="640" w:lineRule="exact"/>
        <w:jc w:val="right"/>
        <w:rPr>
          <w:rFonts w:ascii="仿宋" w:hAnsi="仿宋" w:eastAsia="仿宋"/>
          <w:sz w:val="28"/>
          <w:szCs w:val="28"/>
        </w:rPr>
      </w:pPr>
      <w:r>
        <w:rPr>
          <w:rFonts w:hint="eastAsia" w:ascii="仿宋" w:hAnsi="仿宋" w:eastAsia="仿宋"/>
          <w:sz w:val="28"/>
          <w:szCs w:val="28"/>
        </w:rPr>
        <w:t>2021年3月3日</w:t>
      </w:r>
    </w:p>
    <w:p>
      <w:pPr>
        <w:wordWrap w:val="0"/>
        <w:snapToGrid w:val="0"/>
        <w:spacing w:line="640" w:lineRule="exact"/>
        <w:jc w:val="right"/>
        <w:rPr>
          <w:rFonts w:ascii="仿宋" w:hAnsi="仿宋" w:eastAsia="仿宋"/>
          <w:sz w:val="28"/>
          <w:szCs w:val="28"/>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tabs>
          <w:tab w:val="left" w:pos="7814"/>
        </w:tabs>
        <w:spacing w:line="240" w:lineRule="exact"/>
        <w:rPr>
          <w:rFonts w:ascii="仿宋" w:hAnsi="仿宋" w:eastAsia="仿宋"/>
          <w:b/>
          <w:sz w:val="44"/>
          <w:szCs w:val="44"/>
        </w:rPr>
      </w:pPr>
      <w:r>
        <w:rPr>
          <w:rFonts w:ascii="仿宋" w:hAnsi="仿宋" w:eastAsia="仿宋"/>
          <w:b/>
          <w:sz w:val="44"/>
          <w:szCs w:val="44"/>
        </w:rPr>
        <w:tab/>
      </w: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jc w:val="center"/>
        <w:rPr>
          <w:rFonts w:ascii="宋体" w:hAnsi="宋体"/>
          <w:b/>
          <w:sz w:val="36"/>
          <w:szCs w:val="36"/>
        </w:rPr>
      </w:pPr>
      <w:r>
        <w:rPr>
          <w:rFonts w:hint="eastAsia" w:ascii="宋体" w:hAnsi="宋体"/>
          <w:b/>
          <w:sz w:val="36"/>
          <w:szCs w:val="36"/>
        </w:rPr>
        <w:t>广元市拍卖有限公司</w:t>
      </w:r>
    </w:p>
    <w:p>
      <w:pPr>
        <w:spacing w:line="600" w:lineRule="exact"/>
        <w:jc w:val="center"/>
        <w:rPr>
          <w:rFonts w:ascii="宋体" w:hAnsi="宋体"/>
          <w:b/>
          <w:sz w:val="36"/>
          <w:szCs w:val="36"/>
        </w:rPr>
      </w:pPr>
      <w:r>
        <w:rPr>
          <w:rFonts w:hint="eastAsia" w:ascii="宋体" w:hAnsi="宋体"/>
          <w:b/>
          <w:sz w:val="36"/>
          <w:szCs w:val="36"/>
        </w:rPr>
        <w:t>拍卖规则</w:t>
      </w:r>
    </w:p>
    <w:p>
      <w:pPr>
        <w:spacing w:line="240" w:lineRule="exact"/>
        <w:jc w:val="center"/>
        <w:rPr>
          <w:rFonts w:ascii="仿宋" w:hAnsi="仿宋" w:eastAsia="仿宋"/>
          <w:b/>
          <w:sz w:val="44"/>
          <w:szCs w:val="44"/>
        </w:rPr>
      </w:pPr>
    </w:p>
    <w:p>
      <w:pPr>
        <w:spacing w:line="600" w:lineRule="exact"/>
        <w:ind w:firstLine="645"/>
        <w:rPr>
          <w:rFonts w:ascii="仿宋" w:hAnsi="仿宋" w:eastAsia="仿宋" w:cs="仿宋_GB2312"/>
          <w:spacing w:val="10"/>
          <w:sz w:val="28"/>
          <w:szCs w:val="28"/>
        </w:rPr>
      </w:pPr>
      <w:r>
        <w:rPr>
          <w:rFonts w:hint="eastAsia" w:ascii="仿宋" w:hAnsi="仿宋" w:eastAsia="仿宋" w:cs="仿宋_GB2312"/>
          <w:spacing w:val="10"/>
          <w:sz w:val="28"/>
          <w:szCs w:val="28"/>
        </w:rPr>
        <w:t>一、本规则根据《中华人民共和国拍卖法》、</w:t>
      </w:r>
      <w:r>
        <w:rPr>
          <w:rFonts w:hint="eastAsia" w:ascii="仿宋" w:hAnsi="仿宋" w:eastAsia="仿宋" w:cs="新宋体"/>
          <w:sz w:val="28"/>
          <w:szCs w:val="28"/>
        </w:rPr>
        <w:t>《中华人民共和国民法典·</w:t>
      </w:r>
      <w:r>
        <w:fldChar w:fldCharType="begin"/>
      </w:r>
      <w:r>
        <w:instrText xml:space="preserve"> HYPERLINK "http://laws.66law.cn/law-80210.aspx" \o "合同法" </w:instrText>
      </w:r>
      <w:r>
        <w:fldChar w:fldCharType="separate"/>
      </w:r>
      <w:r>
        <w:rPr>
          <w:rStyle w:val="12"/>
          <w:rFonts w:hint="eastAsia" w:ascii="仿宋" w:hAnsi="仿宋" w:eastAsia="仿宋" w:cs="新宋体"/>
          <w:color w:val="auto"/>
          <w:sz w:val="28"/>
          <w:szCs w:val="28"/>
          <w:u w:val="none"/>
        </w:rPr>
        <w:t>合同编</w:t>
      </w:r>
      <w:r>
        <w:rPr>
          <w:rStyle w:val="12"/>
          <w:rFonts w:hint="eastAsia" w:ascii="仿宋" w:hAnsi="仿宋" w:eastAsia="仿宋" w:cs="新宋体"/>
          <w:color w:val="auto"/>
          <w:sz w:val="28"/>
          <w:szCs w:val="28"/>
          <w:u w:val="none"/>
        </w:rPr>
        <w:fldChar w:fldCharType="end"/>
      </w:r>
      <w:r>
        <w:rPr>
          <w:rFonts w:hint="eastAsia" w:ascii="仿宋" w:hAnsi="仿宋" w:eastAsia="仿宋" w:cs="新宋体"/>
          <w:sz w:val="28"/>
          <w:szCs w:val="28"/>
        </w:rPr>
        <w:t>》等法律法规</w:t>
      </w:r>
      <w:r>
        <w:rPr>
          <w:rFonts w:hint="eastAsia" w:ascii="仿宋" w:hAnsi="仿宋" w:eastAsia="仿宋" w:cs="仿宋_GB2312"/>
          <w:spacing w:val="10"/>
          <w:sz w:val="28"/>
          <w:szCs w:val="28"/>
        </w:rPr>
        <w:t>制定。</w:t>
      </w:r>
    </w:p>
    <w:p>
      <w:pPr>
        <w:spacing w:line="600" w:lineRule="exact"/>
        <w:ind w:firstLine="600" w:firstLineChars="200"/>
        <w:rPr>
          <w:rFonts w:ascii="仿宋" w:hAnsi="仿宋" w:eastAsia="仿宋" w:cs="仿宋_GB2312"/>
          <w:spacing w:val="10"/>
          <w:sz w:val="28"/>
          <w:szCs w:val="28"/>
        </w:rPr>
      </w:pPr>
      <w:r>
        <w:rPr>
          <w:rFonts w:hint="eastAsia" w:ascii="仿宋" w:hAnsi="仿宋" w:eastAsia="仿宋" w:cs="仿宋_GB2312"/>
          <w:spacing w:val="10"/>
          <w:sz w:val="28"/>
          <w:szCs w:val="28"/>
        </w:rPr>
        <w:t>二、如竞买人迟延到达拍卖会场或到场后中途又离开会场而错过竞买时机的，责任自负。</w:t>
      </w:r>
    </w:p>
    <w:p>
      <w:pPr>
        <w:spacing w:line="600" w:lineRule="exact"/>
        <w:ind w:firstLine="645"/>
        <w:rPr>
          <w:rFonts w:ascii="仿宋" w:hAnsi="仿宋" w:eastAsia="仿宋" w:cs="仿宋_GB2312"/>
          <w:spacing w:val="10"/>
          <w:sz w:val="28"/>
          <w:szCs w:val="28"/>
        </w:rPr>
      </w:pPr>
      <w:r>
        <w:rPr>
          <w:rFonts w:hint="eastAsia" w:ascii="仿宋" w:hAnsi="仿宋" w:eastAsia="仿宋"/>
          <w:spacing w:val="10"/>
          <w:sz w:val="28"/>
          <w:szCs w:val="28"/>
        </w:rPr>
        <w:t>三</w:t>
      </w:r>
      <w:r>
        <w:rPr>
          <w:rFonts w:hint="eastAsia" w:ascii="仿宋" w:hAnsi="仿宋" w:eastAsia="仿宋" w:cs="仿宋_GB2312"/>
          <w:spacing w:val="10"/>
          <w:sz w:val="28"/>
          <w:szCs w:val="28"/>
        </w:rPr>
        <w:t>、本场拍卖会按照国际惯例和标的的特点，将严格遵循“公开、公平、公正、诚实信用”的原则和“价高者得”的规则确定买受人，凡与本原则和规则不相符的，委托人、竞买人可向现场监督人员举报，也可向广元市市场监督管理局举报，举报电话：12315。</w:t>
      </w:r>
    </w:p>
    <w:p>
      <w:pPr>
        <w:spacing w:line="600" w:lineRule="exact"/>
        <w:ind w:firstLine="600" w:firstLineChars="200"/>
        <w:rPr>
          <w:rFonts w:ascii="仿宋" w:hAnsi="仿宋" w:eastAsia="仿宋"/>
          <w:spacing w:val="10"/>
          <w:sz w:val="28"/>
          <w:szCs w:val="28"/>
        </w:rPr>
      </w:pPr>
      <w:r>
        <w:rPr>
          <w:rFonts w:hint="eastAsia" w:ascii="仿宋" w:hAnsi="仿宋" w:eastAsia="仿宋" w:cs="仿宋_GB2312"/>
          <w:spacing w:val="10"/>
          <w:sz w:val="28"/>
          <w:szCs w:val="28"/>
        </w:rPr>
        <w:t>四</w:t>
      </w:r>
      <w:r>
        <w:rPr>
          <w:rFonts w:hint="eastAsia" w:ascii="仿宋" w:hAnsi="仿宋" w:eastAsia="仿宋"/>
          <w:spacing w:val="10"/>
          <w:sz w:val="28"/>
          <w:szCs w:val="28"/>
        </w:rPr>
        <w:t>、本场拍卖会采用有保留价增价方式拍卖，在拍卖人拍卖厅和</w:t>
      </w:r>
      <w:r>
        <w:rPr>
          <w:rFonts w:hint="eastAsia" w:ascii="仿宋" w:hAnsi="仿宋" w:eastAsia="仿宋" w:cs="仿宋_GB2312"/>
          <w:kern w:val="0"/>
          <w:sz w:val="28"/>
          <w:szCs w:val="28"/>
        </w:rPr>
        <w:t>中国拍</w:t>
      </w:r>
      <w:r>
        <w:rPr>
          <w:rFonts w:hint="eastAsia" w:ascii="仿宋" w:hAnsi="仿宋" w:eastAsia="仿宋" w:cs="仿宋"/>
          <w:kern w:val="0"/>
          <w:sz w:val="28"/>
          <w:szCs w:val="28"/>
        </w:rPr>
        <w:t>卖行业协会网络平台（http://paimai.caa123.org.cn）同步进行</w:t>
      </w:r>
      <w:r>
        <w:rPr>
          <w:rFonts w:hint="eastAsia" w:ascii="仿宋" w:hAnsi="仿宋" w:eastAsia="仿宋"/>
          <w:spacing w:val="10"/>
          <w:sz w:val="28"/>
          <w:szCs w:val="28"/>
        </w:rPr>
        <w:t>。</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五、</w:t>
      </w:r>
      <w:r>
        <w:rPr>
          <w:rFonts w:ascii="仿宋" w:hAnsi="仿宋" w:eastAsia="仿宋"/>
          <w:sz w:val="28"/>
          <w:szCs w:val="28"/>
        </w:rPr>
        <w:t>本次拍卖设有底价</w:t>
      </w:r>
      <w:r>
        <w:rPr>
          <w:rFonts w:hint="eastAsia" w:ascii="仿宋" w:hAnsi="仿宋" w:eastAsia="仿宋"/>
          <w:sz w:val="28"/>
          <w:szCs w:val="28"/>
        </w:rPr>
        <w:t>。委托人在拍卖会现场将密封的拍卖底价交给拍卖师，拍卖师在监督人员的监督下现场开启密封件。</w:t>
      </w:r>
      <w:r>
        <w:rPr>
          <w:rFonts w:hint="eastAsia" w:ascii="仿宋" w:hAnsi="仿宋" w:eastAsia="仿宋" w:cs="仿宋_GB2312"/>
          <w:spacing w:val="10"/>
          <w:sz w:val="28"/>
          <w:szCs w:val="28"/>
        </w:rPr>
        <w:t>拍卖师现场介绍拍卖标的情况，随即宣布起拍价和增幅价（起拍价不等同于底价），然后由竞买人举牌应价、加价。拍卖师根据有关法律、法规的规定，有权视拍卖会现场情况适时调整增幅价。现场</w:t>
      </w:r>
      <w:r>
        <w:rPr>
          <w:rFonts w:hint="eastAsia" w:ascii="仿宋" w:hAnsi="仿宋" w:eastAsia="仿宋"/>
          <w:sz w:val="28"/>
          <w:szCs w:val="28"/>
        </w:rPr>
        <w:t>竞价号牌（或网络竞价号牌）代表竞买人的竞买资格，竞买人应价或口头报价必须举牌才有效，但口头报价的增幅价不得小于拍卖师宣布或调整的增幅价（拍卖师认可的除外）。竞买人举牌表示递增一档，口头加价需同时举号牌，但不受递增一档的限制。竞买人一经举牌应价，不得反悔，当有更高应价时，原价才丧失约束力。</w:t>
      </w:r>
      <w:r>
        <w:rPr>
          <w:rFonts w:hint="eastAsia" w:ascii="仿宋" w:hAnsi="仿宋" w:eastAsia="仿宋" w:cs="仿宋_GB2312"/>
          <w:spacing w:val="10"/>
          <w:sz w:val="28"/>
          <w:szCs w:val="28"/>
        </w:rPr>
        <w:t>当有两名或两名以上的竞买人同时举牌应价时，由拍卖师随机指定一名竞买人的报价。竞买人亮出号牌后,拍卖师叫到号牌,被叫者不按规定乱叫价的,视为无效报价。拍卖师三声报价后,若无人再加价,</w:t>
      </w:r>
      <w:r>
        <w:rPr>
          <w:rFonts w:hint="eastAsia" w:ascii="仿宋" w:hAnsi="仿宋" w:eastAsia="仿宋"/>
          <w:sz w:val="28"/>
          <w:szCs w:val="28"/>
        </w:rPr>
        <w:t>该报价</w:t>
      </w:r>
      <w:r>
        <w:rPr>
          <w:rFonts w:hint="eastAsia" w:ascii="仿宋" w:hAnsi="仿宋" w:eastAsia="仿宋" w:cs="仿宋_GB2312"/>
          <w:spacing w:val="10"/>
          <w:sz w:val="28"/>
          <w:szCs w:val="28"/>
        </w:rPr>
        <w:t>便视为最高报价,拍卖师将锁定该报价,确认最高报价是否达到底价。经拍卖师确认，若不低于底价则落槌成交,若低于底价则宣布流标。</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网络竞买人需于拍卖正式开始前登录</w:t>
      </w:r>
      <w:r>
        <w:rPr>
          <w:rFonts w:hint="eastAsia" w:ascii="仿宋" w:hAnsi="仿宋" w:eastAsia="仿宋" w:cs="仿宋_GB2312"/>
          <w:kern w:val="0"/>
          <w:sz w:val="28"/>
          <w:szCs w:val="28"/>
        </w:rPr>
        <w:t>中国拍</w:t>
      </w:r>
      <w:r>
        <w:rPr>
          <w:rFonts w:hint="eastAsia" w:ascii="仿宋" w:hAnsi="仿宋" w:eastAsia="仿宋" w:cs="仿宋"/>
          <w:kern w:val="0"/>
          <w:sz w:val="28"/>
          <w:szCs w:val="28"/>
        </w:rPr>
        <w:t>卖行业协会网络平台</w:t>
      </w:r>
      <w:r>
        <w:rPr>
          <w:rFonts w:hint="eastAsia" w:ascii="仿宋" w:hAnsi="仿宋" w:eastAsia="仿宋"/>
          <w:sz w:val="28"/>
          <w:szCs w:val="28"/>
        </w:rPr>
        <w:t>，输入用户名、密码后登录，由系统自动生成一个竞价号牌。</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六、网络竞买人的网络竞价以电脑显示的先后顺序确定，在网络竞价时间开始后方可竞价。</w:t>
      </w:r>
      <w:r>
        <w:rPr>
          <w:rFonts w:hint="eastAsia" w:ascii="仿宋" w:hAnsi="仿宋" w:eastAsia="仿宋"/>
          <w:spacing w:val="10"/>
          <w:sz w:val="28"/>
          <w:szCs w:val="28"/>
        </w:rPr>
        <w:t>当竞买人的竞价达到或超过保留价时，再无新的更高报价，</w:t>
      </w:r>
      <w:r>
        <w:rPr>
          <w:rFonts w:hint="eastAsia" w:ascii="仿宋" w:hAnsi="仿宋" w:eastAsia="仿宋"/>
          <w:sz w:val="28"/>
          <w:szCs w:val="28"/>
        </w:rPr>
        <w:t>网络竞价结束，随即进入报价倒计时（倒计时以服务器时间为准），若有应价，网络应价系统自动继续延续，以此类推,直至无新应价出现，网络应价系统自动关闭。</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七、网络竞价采取增价方式，竞买人进行竞价时，其加价幅度可按网络应价系统显示的竞价阶梯操作。</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八、网络竞买人应对登录账户及密码的安全负责，并对使用竞拍号码进行的所有竞价活动负责。在网络竞价过程中，所有操作均视为竞买人本人操作，由此产生的一切后果，由竞买人自行承担。</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九、当出现以下情形，拍卖人和中国拍</w:t>
      </w:r>
      <w:r>
        <w:rPr>
          <w:rFonts w:hint="eastAsia" w:ascii="仿宋" w:hAnsi="仿宋" w:eastAsia="仿宋" w:cs="仿宋"/>
          <w:kern w:val="0"/>
          <w:sz w:val="28"/>
          <w:szCs w:val="28"/>
        </w:rPr>
        <w:t>卖行业协会网络平台</w:t>
      </w:r>
      <w:r>
        <w:rPr>
          <w:rFonts w:hint="eastAsia" w:ascii="仿宋" w:hAnsi="仿宋" w:eastAsia="仿宋"/>
          <w:sz w:val="28"/>
          <w:szCs w:val="28"/>
        </w:rPr>
        <w:t>不承担任何责任（包括但不限于以下情形）：</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spacing w:val="10"/>
          <w:sz w:val="28"/>
          <w:szCs w:val="28"/>
        </w:rPr>
        <w:t>如竞买人迟延登录网站或不能登录网站参与竞价，或竞价过程中途离开而错过竞买时机，其责任自负；</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2、竞买人未在报价期限内报价的；</w:t>
      </w:r>
    </w:p>
    <w:p>
      <w:pPr>
        <w:tabs>
          <w:tab w:val="right" w:pos="9525"/>
        </w:tabs>
        <w:spacing w:line="600" w:lineRule="exact"/>
        <w:ind w:firstLine="560" w:firstLineChars="200"/>
        <w:rPr>
          <w:rFonts w:ascii="仿宋" w:hAnsi="仿宋" w:eastAsia="仿宋"/>
          <w:sz w:val="28"/>
          <w:szCs w:val="28"/>
        </w:rPr>
      </w:pPr>
      <w:r>
        <w:rPr>
          <w:rFonts w:hint="eastAsia" w:ascii="仿宋" w:hAnsi="仿宋" w:eastAsia="仿宋"/>
          <w:sz w:val="28"/>
          <w:szCs w:val="28"/>
        </w:rPr>
        <w:t>3、竞买人因自身原因导致其注册账号信息泄露而造成的一切后果；</w:t>
      </w:r>
      <w:r>
        <w:rPr>
          <w:rFonts w:ascii="仿宋" w:hAnsi="仿宋" w:eastAsia="仿宋"/>
          <w:sz w:val="28"/>
          <w:szCs w:val="28"/>
        </w:rPr>
        <w:tab/>
      </w:r>
    </w:p>
    <w:p>
      <w:pPr>
        <w:spacing w:line="600" w:lineRule="exact"/>
        <w:ind w:firstLine="560" w:firstLineChars="200"/>
        <w:rPr>
          <w:rFonts w:ascii="仿宋" w:hAnsi="仿宋" w:eastAsia="仿宋"/>
          <w:sz w:val="28"/>
          <w:szCs w:val="28"/>
        </w:rPr>
      </w:pPr>
      <w:r>
        <w:rPr>
          <w:rFonts w:hint="eastAsia" w:ascii="仿宋" w:hAnsi="仿宋" w:eastAsia="仿宋"/>
          <w:sz w:val="28"/>
          <w:szCs w:val="28"/>
        </w:rPr>
        <w:t>4、竞买人因遗忘账户、密码、自身终端设备或网络异常导致无法正常报价的；</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5、因不可抗力、停电、网络中断、软硬件故障、非法入侵、恶意攻击导致系统故障无法继续报价的，或者司法部门、政府监管部门紧急要求停止报价等原因导致报价中断的等其他不可抗力因素。</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由于网络竞价存在不确定风险，因此，竞买人承诺自行承担因发生上述及相关情况以及本人操作差错所造成的损失，并自愿放弃要求系统运营人及拍卖人承担任何赔偿责任的权利。</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十、当拍卖人服务器故障或网络中断，拍卖会延迟再行拍卖。</w:t>
      </w:r>
    </w:p>
    <w:p>
      <w:pPr>
        <w:spacing w:line="600" w:lineRule="exact"/>
        <w:ind w:firstLine="600" w:firstLineChars="200"/>
        <w:rPr>
          <w:rFonts w:ascii="仿宋" w:hAnsi="仿宋" w:eastAsia="仿宋"/>
          <w:spacing w:val="10"/>
          <w:sz w:val="28"/>
          <w:szCs w:val="28"/>
        </w:rPr>
      </w:pPr>
      <w:r>
        <w:rPr>
          <w:rFonts w:hint="eastAsia" w:ascii="仿宋" w:hAnsi="仿宋" w:eastAsia="仿宋"/>
          <w:spacing w:val="10"/>
          <w:sz w:val="28"/>
          <w:szCs w:val="28"/>
        </w:rPr>
        <w:t>十一、竞买人竞得拍卖标的，即成为买受人。参加网络竞价的买受人须在拍卖会结束后5个工作日内到拍卖人办公场所在《竞价记录》上签字，并签署《拍卖成交确认书》; 参加现场竞价的买受人拍卖会结束后当场签署。如逾期或拒绝在网络拍卖《竞价记录》和《拍卖成交确认书》签字（盖章），不影响拍卖成交的法定事实，视为反悔和违约。</w:t>
      </w:r>
    </w:p>
    <w:p>
      <w:pPr>
        <w:spacing w:line="600" w:lineRule="exact"/>
        <w:ind w:firstLine="560" w:firstLineChars="200"/>
        <w:rPr>
          <w:rFonts w:ascii="仿宋" w:hAnsi="仿宋" w:eastAsia="仿宋"/>
          <w:spacing w:val="10"/>
          <w:sz w:val="28"/>
          <w:szCs w:val="28"/>
        </w:rPr>
      </w:pPr>
      <w:r>
        <w:rPr>
          <w:rFonts w:hint="eastAsia" w:ascii="仿宋" w:hAnsi="仿宋" w:eastAsia="仿宋"/>
          <w:sz w:val="28"/>
          <w:szCs w:val="28"/>
        </w:rPr>
        <w:t>十二、拍卖成交后，买受人应按与我公司签订的《竞买协议》约定时间交纳价款和佣金。</w:t>
      </w:r>
      <w:r>
        <w:rPr>
          <w:rFonts w:hint="eastAsia" w:ascii="仿宋" w:hAnsi="仿宋" w:eastAsia="仿宋"/>
          <w:spacing w:val="10"/>
          <w:sz w:val="28"/>
          <w:szCs w:val="28"/>
        </w:rPr>
        <w:t>拍卖成交价不包含买受人应交纳的税费和支付给拍卖人的佣金。价款、佣金、税费均以人民币支付结算。</w:t>
      </w:r>
    </w:p>
    <w:p>
      <w:pPr>
        <w:tabs>
          <w:tab w:val="left" w:pos="900"/>
        </w:tabs>
        <w:spacing w:line="560" w:lineRule="exact"/>
        <w:ind w:right="560"/>
        <w:rPr>
          <w:rFonts w:ascii="仿宋" w:hAnsi="仿宋" w:eastAsia="仿宋" w:cs="宋体"/>
          <w:bCs/>
          <w:sz w:val="28"/>
          <w:szCs w:val="28"/>
        </w:rPr>
      </w:pPr>
    </w:p>
    <w:p>
      <w:pPr>
        <w:tabs>
          <w:tab w:val="left" w:pos="900"/>
        </w:tabs>
        <w:spacing w:line="240" w:lineRule="exact"/>
        <w:ind w:right="561" w:firstLine="560" w:firstLineChars="200"/>
        <w:rPr>
          <w:rFonts w:ascii="仿宋" w:hAnsi="仿宋" w:eastAsia="仿宋" w:cs="宋体"/>
          <w:bCs/>
          <w:sz w:val="28"/>
          <w:szCs w:val="28"/>
        </w:rPr>
      </w:pPr>
    </w:p>
    <w:p>
      <w:pPr>
        <w:tabs>
          <w:tab w:val="left" w:pos="900"/>
        </w:tabs>
        <w:spacing w:line="240" w:lineRule="exact"/>
        <w:ind w:firstLine="450" w:firstLineChars="150"/>
        <w:jc w:val="center"/>
        <w:rPr>
          <w:rFonts w:ascii="仿宋" w:hAnsi="仿宋" w:eastAsia="仿宋" w:cs="宋体"/>
          <w:bCs/>
          <w:sz w:val="30"/>
          <w:szCs w:val="30"/>
        </w:rPr>
      </w:pPr>
      <w:r>
        <w:rPr>
          <w:rFonts w:hint="eastAsia" w:ascii="仿宋" w:hAnsi="仿宋" w:eastAsia="仿宋" w:cs="宋体"/>
          <w:bCs/>
          <w:sz w:val="30"/>
          <w:szCs w:val="30"/>
        </w:rPr>
        <w:t xml:space="preserve">                  </w:t>
      </w:r>
    </w:p>
    <w:p>
      <w:pPr>
        <w:tabs>
          <w:tab w:val="left" w:pos="900"/>
        </w:tabs>
        <w:spacing w:line="560" w:lineRule="exact"/>
        <w:ind w:firstLine="420" w:firstLineChars="150"/>
        <w:jc w:val="right"/>
        <w:rPr>
          <w:sz w:val="28"/>
          <w:szCs w:val="28"/>
        </w:rPr>
      </w:pPr>
      <w:r>
        <w:rPr>
          <w:rFonts w:hint="eastAsia" w:ascii="仿宋" w:hAnsi="仿宋" w:eastAsia="仿宋" w:cs="宋体"/>
          <w:bCs/>
          <w:sz w:val="28"/>
          <w:szCs w:val="28"/>
        </w:rPr>
        <w:t xml:space="preserve"> 2021年3月3日</w:t>
      </w: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140" w:lineRule="exact"/>
        <w:jc w:val="center"/>
        <w:rPr>
          <w:rFonts w:ascii="仿宋" w:hAnsi="仿宋" w:eastAsia="仿宋"/>
          <w:b/>
          <w:sz w:val="44"/>
          <w:szCs w:val="44"/>
        </w:rPr>
      </w:pPr>
    </w:p>
    <w:p>
      <w:pPr>
        <w:spacing w:line="240" w:lineRule="exact"/>
        <w:jc w:val="center"/>
        <w:rPr>
          <w:rFonts w:ascii="宋体" w:hAnsi="宋体"/>
          <w:b/>
          <w:spacing w:val="20"/>
          <w:sz w:val="36"/>
          <w:szCs w:val="36"/>
        </w:rPr>
      </w:pPr>
    </w:p>
    <w:p>
      <w:pPr>
        <w:spacing w:line="240" w:lineRule="exact"/>
        <w:jc w:val="center"/>
        <w:rPr>
          <w:rFonts w:ascii="宋体" w:hAnsi="宋体"/>
          <w:b/>
          <w:spacing w:val="20"/>
          <w:sz w:val="36"/>
          <w:szCs w:val="36"/>
        </w:rPr>
      </w:pPr>
    </w:p>
    <w:p>
      <w:pPr>
        <w:spacing w:line="240" w:lineRule="exact"/>
        <w:jc w:val="center"/>
        <w:rPr>
          <w:rFonts w:ascii="宋体" w:hAnsi="宋体"/>
          <w:b/>
          <w:spacing w:val="20"/>
          <w:sz w:val="36"/>
          <w:szCs w:val="36"/>
        </w:rPr>
      </w:pPr>
    </w:p>
    <w:p>
      <w:pPr>
        <w:jc w:val="center"/>
        <w:rPr>
          <w:rFonts w:ascii="宋体" w:hAnsi="宋体"/>
          <w:b/>
          <w:sz w:val="36"/>
          <w:szCs w:val="36"/>
        </w:rPr>
      </w:pPr>
      <w:r>
        <w:rPr>
          <w:rFonts w:hint="eastAsia" w:ascii="宋体" w:hAnsi="宋体"/>
          <w:b/>
          <w:sz w:val="36"/>
          <w:szCs w:val="36"/>
        </w:rPr>
        <w:t>广元市拍卖有限公司</w:t>
      </w:r>
    </w:p>
    <w:p>
      <w:pPr>
        <w:spacing w:line="720" w:lineRule="exact"/>
        <w:jc w:val="center"/>
        <w:rPr>
          <w:rFonts w:ascii="宋体" w:hAnsi="宋体"/>
          <w:b/>
          <w:kern w:val="0"/>
          <w:sz w:val="36"/>
          <w:szCs w:val="36"/>
        </w:rPr>
      </w:pPr>
      <w:r>
        <w:rPr>
          <w:rFonts w:hint="eastAsia" w:ascii="宋体" w:hAnsi="宋体"/>
          <w:b/>
          <w:kern w:val="0"/>
          <w:sz w:val="36"/>
          <w:szCs w:val="36"/>
        </w:rPr>
        <w:t>拍卖现场纪律</w:t>
      </w:r>
    </w:p>
    <w:p>
      <w:pPr>
        <w:spacing w:line="240" w:lineRule="exact"/>
        <w:jc w:val="center"/>
        <w:rPr>
          <w:rFonts w:ascii="隶书" w:eastAsia="隶书"/>
          <w:sz w:val="44"/>
          <w:szCs w:val="44"/>
        </w:rPr>
      </w:pPr>
    </w:p>
    <w:p>
      <w:pPr>
        <w:spacing w:line="800" w:lineRule="exact"/>
        <w:ind w:firstLine="560" w:firstLineChars="200"/>
        <w:rPr>
          <w:rFonts w:ascii="仿宋" w:hAnsi="仿宋" w:eastAsia="仿宋"/>
          <w:sz w:val="28"/>
          <w:szCs w:val="28"/>
        </w:rPr>
      </w:pPr>
      <w:r>
        <w:rPr>
          <w:rFonts w:hint="eastAsia" w:ascii="仿宋" w:hAnsi="仿宋" w:eastAsia="仿宋"/>
          <w:bCs/>
          <w:sz w:val="28"/>
          <w:szCs w:val="28"/>
        </w:rPr>
        <w:t xml:space="preserve">一、拍卖工作人员、竞买人、来宾应按时入场，并在指定范围内就座。拍卖开始后，不得随意走动，以免影响他人。公共场所请勿吸烟。 </w:t>
      </w:r>
    </w:p>
    <w:p>
      <w:pPr>
        <w:spacing w:line="800" w:lineRule="exact"/>
        <w:rPr>
          <w:rFonts w:ascii="仿宋" w:hAnsi="仿宋" w:eastAsia="仿宋"/>
          <w:sz w:val="28"/>
          <w:szCs w:val="28"/>
        </w:rPr>
      </w:pPr>
      <w:r>
        <w:rPr>
          <w:rFonts w:hint="eastAsia" w:ascii="仿宋" w:hAnsi="仿宋" w:eastAsia="仿宋"/>
          <w:bCs/>
          <w:sz w:val="28"/>
          <w:szCs w:val="28"/>
        </w:rPr>
        <w:t xml:space="preserve">    二、竞买人及来宾在场内不得起哄、吵闹、斗殴，严禁携带危险爆炸物品入场，违者由公安机关按《中华人民共和国治安管理法》的有关规定对其进行处罚。损坏拍卖现场财物均应照价赔偿。 </w:t>
      </w:r>
    </w:p>
    <w:p>
      <w:pPr>
        <w:spacing w:line="800" w:lineRule="exact"/>
        <w:rPr>
          <w:rFonts w:ascii="仿宋" w:hAnsi="仿宋" w:eastAsia="仿宋"/>
          <w:sz w:val="28"/>
          <w:szCs w:val="28"/>
        </w:rPr>
      </w:pPr>
      <w:r>
        <w:rPr>
          <w:rFonts w:hint="eastAsia" w:ascii="仿宋" w:hAnsi="仿宋" w:eastAsia="仿宋"/>
          <w:bCs/>
          <w:sz w:val="28"/>
          <w:szCs w:val="28"/>
        </w:rPr>
        <w:t xml:space="preserve">    三、进入会场的人员请将手机等通讯工具设置为震动挡或静音。 </w:t>
      </w:r>
    </w:p>
    <w:p>
      <w:pPr>
        <w:spacing w:line="800" w:lineRule="exact"/>
        <w:rPr>
          <w:rFonts w:ascii="仿宋" w:hAnsi="仿宋" w:eastAsia="仿宋"/>
          <w:sz w:val="28"/>
          <w:szCs w:val="28"/>
        </w:rPr>
      </w:pPr>
      <w:r>
        <w:rPr>
          <w:rFonts w:hint="eastAsia" w:ascii="仿宋" w:hAnsi="仿宋" w:eastAsia="仿宋"/>
          <w:bCs/>
          <w:sz w:val="28"/>
          <w:szCs w:val="28"/>
        </w:rPr>
        <w:t xml:space="preserve">    四、拍卖开始后，竞买人采用规定的方式应价，非竞买人无权应价，更不能在竞买人应价时起哄。 </w:t>
      </w:r>
    </w:p>
    <w:p>
      <w:pPr>
        <w:spacing w:line="800" w:lineRule="exact"/>
        <w:rPr>
          <w:rFonts w:ascii="仿宋" w:hAnsi="仿宋" w:eastAsia="仿宋"/>
          <w:sz w:val="28"/>
          <w:szCs w:val="28"/>
        </w:rPr>
      </w:pPr>
      <w:r>
        <w:rPr>
          <w:rFonts w:hint="eastAsia" w:ascii="仿宋" w:hAnsi="仿宋" w:eastAsia="仿宋"/>
          <w:bCs/>
          <w:sz w:val="28"/>
          <w:szCs w:val="28"/>
        </w:rPr>
        <w:t xml:space="preserve">    五、在竞价开始前，竞买人须认真听取拍卖师对竞买须知、拍卖规则等有关事项的讲解，不得喧哗。竞买人在竞买开始前如需发言或提问，需举牌示意并征得拍卖师的同意。竞买人之间不得有恶意串通行为，违者取消其竞买资格，情节严重的，依法追究法律责任。 </w:t>
      </w:r>
    </w:p>
    <w:p>
      <w:pPr>
        <w:spacing w:line="800" w:lineRule="exact"/>
        <w:rPr>
          <w:rFonts w:ascii="仿宋" w:hAnsi="仿宋" w:eastAsia="仿宋"/>
          <w:sz w:val="28"/>
          <w:szCs w:val="28"/>
        </w:rPr>
      </w:pPr>
      <w:r>
        <w:rPr>
          <w:rFonts w:hint="eastAsia" w:ascii="仿宋" w:hAnsi="仿宋" w:eastAsia="仿宋"/>
          <w:bCs/>
          <w:sz w:val="28"/>
          <w:szCs w:val="28"/>
        </w:rPr>
        <w:t xml:space="preserve">    六、拍卖师落槌成交后，竞买人不得继续应价，买受人和未成交的竞买人均不得在场内宣泄感情。 </w:t>
      </w:r>
    </w:p>
    <w:p>
      <w:pPr>
        <w:spacing w:line="340" w:lineRule="exact"/>
        <w:rPr>
          <w:rFonts w:ascii="仿宋" w:hAnsi="仿宋" w:eastAsia="仿宋"/>
          <w:b/>
          <w:sz w:val="44"/>
          <w:szCs w:val="44"/>
        </w:rPr>
      </w:pPr>
    </w:p>
    <w:p>
      <w:pPr>
        <w:spacing w:line="300" w:lineRule="exact"/>
        <w:jc w:val="center"/>
        <w:rPr>
          <w:rFonts w:ascii="仿宋" w:hAnsi="仿宋" w:eastAsia="仿宋"/>
          <w:b/>
          <w:spacing w:val="20"/>
          <w:sz w:val="40"/>
          <w:szCs w:val="40"/>
        </w:rPr>
      </w:pPr>
    </w:p>
    <w:p>
      <w:pPr>
        <w:spacing w:line="300" w:lineRule="exact"/>
        <w:jc w:val="center"/>
        <w:rPr>
          <w:rFonts w:ascii="仿宋" w:hAnsi="仿宋" w:eastAsia="仿宋"/>
          <w:b/>
          <w:spacing w:val="20"/>
          <w:sz w:val="40"/>
          <w:szCs w:val="40"/>
        </w:rPr>
      </w:pPr>
    </w:p>
    <w:p>
      <w:pPr>
        <w:jc w:val="center"/>
        <w:rPr>
          <w:rFonts w:ascii="宋体" w:hAnsi="宋体"/>
          <w:b/>
          <w:sz w:val="36"/>
          <w:szCs w:val="36"/>
        </w:rPr>
      </w:pPr>
      <w:r>
        <w:rPr>
          <w:rFonts w:hint="eastAsia" w:ascii="宋体" w:hAnsi="宋体"/>
          <w:b/>
          <w:sz w:val="36"/>
          <w:szCs w:val="36"/>
        </w:rPr>
        <w:t>广元市拍卖有限公司</w:t>
      </w:r>
    </w:p>
    <w:p>
      <w:pPr>
        <w:jc w:val="center"/>
        <w:rPr>
          <w:rFonts w:ascii="宋体" w:hAnsi="宋体"/>
          <w:b/>
          <w:kern w:val="0"/>
          <w:sz w:val="36"/>
          <w:szCs w:val="36"/>
        </w:rPr>
      </w:pPr>
      <w:r>
        <w:rPr>
          <w:rFonts w:hint="eastAsia" w:ascii="宋体" w:hAnsi="宋体"/>
          <w:b/>
          <w:kern w:val="0"/>
          <w:sz w:val="36"/>
          <w:szCs w:val="36"/>
        </w:rPr>
        <w:t>拍卖会程序</w:t>
      </w:r>
    </w:p>
    <w:p>
      <w:pPr>
        <w:spacing w:line="160" w:lineRule="exact"/>
        <w:jc w:val="center"/>
        <w:rPr>
          <w:rFonts w:ascii="宋体" w:hAnsi="宋体"/>
          <w:sz w:val="44"/>
          <w:szCs w:val="44"/>
        </w:rPr>
      </w:pPr>
    </w:p>
    <w:p>
      <w:pPr>
        <w:spacing w:line="448" w:lineRule="exact"/>
        <w:ind w:firstLine="560" w:firstLineChars="200"/>
        <w:rPr>
          <w:rFonts w:ascii="仿宋" w:hAnsi="仿宋" w:eastAsia="仿宋"/>
          <w:sz w:val="28"/>
          <w:szCs w:val="28"/>
        </w:rPr>
      </w:pPr>
      <w:r>
        <w:rPr>
          <w:rFonts w:hint="eastAsia" w:ascii="仿宋" w:hAnsi="仿宋" w:eastAsia="仿宋"/>
          <w:sz w:val="28"/>
          <w:szCs w:val="28"/>
        </w:rPr>
        <w:t>本次拍卖会于</w:t>
      </w:r>
      <w:r>
        <w:rPr>
          <w:rFonts w:hint="eastAsia" w:ascii="仿宋" w:hAnsi="仿宋" w:eastAsia="仿宋"/>
          <w:sz w:val="28"/>
          <w:szCs w:val="28"/>
          <w:u w:val="single"/>
        </w:rPr>
        <w:t>2021</w:t>
      </w:r>
      <w:r>
        <w:rPr>
          <w:rFonts w:hint="eastAsia" w:ascii="仿宋" w:hAnsi="仿宋" w:eastAsia="仿宋"/>
          <w:sz w:val="28"/>
          <w:szCs w:val="28"/>
        </w:rPr>
        <w:t>年</w:t>
      </w:r>
      <w:r>
        <w:rPr>
          <w:rFonts w:hint="eastAsia" w:ascii="仿宋" w:hAnsi="仿宋" w:eastAsia="仿宋"/>
          <w:sz w:val="28"/>
          <w:szCs w:val="28"/>
          <w:u w:val="single"/>
        </w:rPr>
        <w:t xml:space="preserve"> 4 </w:t>
      </w:r>
      <w:r>
        <w:rPr>
          <w:rFonts w:hint="eastAsia" w:ascii="仿宋" w:hAnsi="仿宋" w:eastAsia="仿宋"/>
          <w:sz w:val="28"/>
          <w:szCs w:val="28"/>
        </w:rPr>
        <w:t>月</w:t>
      </w:r>
      <w:r>
        <w:rPr>
          <w:rFonts w:hint="eastAsia" w:ascii="仿宋" w:hAnsi="仿宋" w:eastAsia="仿宋"/>
          <w:sz w:val="28"/>
          <w:szCs w:val="28"/>
          <w:u w:val="single"/>
        </w:rPr>
        <w:t xml:space="preserve"> 7 </w:t>
      </w:r>
      <w:r>
        <w:rPr>
          <w:rFonts w:hint="eastAsia" w:ascii="仿宋" w:hAnsi="仿宋" w:eastAsia="仿宋"/>
          <w:sz w:val="28"/>
          <w:szCs w:val="28"/>
        </w:rPr>
        <w:t>日</w:t>
      </w:r>
      <w:r>
        <w:rPr>
          <w:rFonts w:hint="eastAsia" w:ascii="仿宋" w:hAnsi="仿宋" w:eastAsia="仿宋" w:cs="宋体"/>
          <w:kern w:val="0"/>
          <w:sz w:val="28"/>
          <w:szCs w:val="28"/>
          <w:shd w:val="clear" w:color="auto" w:fill="FFFFFF"/>
        </w:rPr>
        <w:t>10:00</w:t>
      </w:r>
      <w:r>
        <w:rPr>
          <w:rFonts w:hint="eastAsia" w:ascii="仿宋" w:hAnsi="仿宋" w:eastAsia="仿宋"/>
          <w:sz w:val="28"/>
          <w:szCs w:val="28"/>
        </w:rPr>
        <w:t>在</w:t>
      </w:r>
      <w:r>
        <w:rPr>
          <w:rFonts w:hint="eastAsia" w:ascii="仿宋" w:hAnsi="仿宋" w:eastAsia="仿宋" w:cs="仿宋_GB2312"/>
          <w:kern w:val="0"/>
          <w:sz w:val="28"/>
          <w:szCs w:val="28"/>
        </w:rPr>
        <w:t>我公司拍卖厅和中国拍</w:t>
      </w:r>
      <w:r>
        <w:rPr>
          <w:rFonts w:hint="eastAsia" w:ascii="仿宋" w:hAnsi="仿宋" w:eastAsia="仿宋" w:cs="仿宋"/>
          <w:kern w:val="0"/>
          <w:sz w:val="28"/>
          <w:szCs w:val="28"/>
        </w:rPr>
        <w:t>卖行业协会网络平台同步</w:t>
      </w:r>
      <w:r>
        <w:rPr>
          <w:rFonts w:hint="eastAsia" w:ascii="仿宋" w:hAnsi="仿宋" w:eastAsia="仿宋"/>
          <w:sz w:val="28"/>
          <w:szCs w:val="28"/>
        </w:rPr>
        <w:t>举行。</w:t>
      </w:r>
    </w:p>
    <w:p>
      <w:pPr>
        <w:spacing w:line="448" w:lineRule="exact"/>
        <w:ind w:firstLine="562" w:firstLineChars="200"/>
        <w:rPr>
          <w:rFonts w:ascii="仿宋" w:hAnsi="仿宋" w:eastAsia="仿宋"/>
          <w:b/>
          <w:sz w:val="28"/>
          <w:szCs w:val="28"/>
        </w:rPr>
      </w:pPr>
      <w:r>
        <w:rPr>
          <w:rFonts w:hint="eastAsia" w:ascii="仿宋" w:hAnsi="仿宋" w:eastAsia="仿宋"/>
          <w:b/>
          <w:sz w:val="28"/>
          <w:szCs w:val="28"/>
        </w:rPr>
        <w:t>一、程序如下</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1、主持人宣布拍卖会开始；</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2、拍卖师、记录员就位；</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3、拍卖师宣布竞买人到场情况；</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委托人现场将密封的拍卖底价交给拍卖师，拍卖师在监督人员的监督下现场开启密封件。</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4、拍卖师介绍拍卖标的情况，开通网络与现场同步竞价程序；</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5、拍卖师宣布拍卖标的的起拍价、增价规则和增价幅度，并明确提示本次拍卖的标的设有底价。在拍卖过程中，拍卖师可根据现场情况调整增价幅度；</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6、拍卖师报出起拍价，宣布竞价开始；</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7、现场竞买人举牌应价或报价，网络竞买人网络出价；</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8、拍卖师确认该现场竞买人或网络竞买人应价或者报价后继续竞价；</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9、拍卖师连续三次宣布同一应价或报价而现场和网络竞买人没有人再应价或加价时，且该价格不低于底价的，拍卖师落槌表示拍卖成交，并宣布最高应价者为买受人。成交结果对拍卖人、买受人和委托人均具有法律效力。最高应价或报价低于底价的，拍卖师宣布拍卖终止。</w:t>
      </w:r>
    </w:p>
    <w:p>
      <w:pPr>
        <w:spacing w:line="448" w:lineRule="exact"/>
        <w:ind w:firstLine="562" w:firstLineChars="200"/>
        <w:rPr>
          <w:rFonts w:ascii="仿宋" w:hAnsi="仿宋" w:eastAsia="仿宋"/>
          <w:b/>
          <w:sz w:val="28"/>
          <w:szCs w:val="28"/>
        </w:rPr>
      </w:pPr>
      <w:r>
        <w:rPr>
          <w:rFonts w:hint="eastAsia" w:ascii="仿宋" w:hAnsi="仿宋" w:eastAsia="仿宋"/>
          <w:b/>
          <w:sz w:val="28"/>
          <w:szCs w:val="28"/>
        </w:rPr>
        <w:t>二、确定买受人</w:t>
      </w:r>
    </w:p>
    <w:p>
      <w:pPr>
        <w:spacing w:line="448" w:lineRule="exact"/>
        <w:ind w:firstLine="560" w:firstLineChars="200"/>
        <w:rPr>
          <w:rFonts w:ascii="仿宋" w:hAnsi="仿宋" w:eastAsia="仿宋"/>
          <w:spacing w:val="10"/>
          <w:sz w:val="28"/>
          <w:szCs w:val="28"/>
        </w:rPr>
      </w:pPr>
      <w:r>
        <w:rPr>
          <w:rFonts w:hint="eastAsia" w:ascii="仿宋" w:hAnsi="仿宋" w:eastAsia="仿宋"/>
          <w:sz w:val="28"/>
          <w:szCs w:val="28"/>
        </w:rPr>
        <w:t>买受人确定后，参加网络竞竞价的</w:t>
      </w:r>
      <w:r>
        <w:rPr>
          <w:rFonts w:hint="eastAsia" w:ascii="仿宋" w:hAnsi="仿宋" w:eastAsia="仿宋"/>
          <w:spacing w:val="10"/>
          <w:sz w:val="28"/>
          <w:szCs w:val="28"/>
        </w:rPr>
        <w:t>买受人须在拍卖会结束后5个工作日内到拍卖人办公场所在《竞价记录》上签字，并签署《拍卖成交确认书》;参加现场竟价的买受人拍卖会结束后当场签署。如逾期或拒绝在拍卖《竞价记录》和《拍卖成交确认书》签字（盖章），不影响拍卖成交的法定事实，视为反悔和违约。</w:t>
      </w:r>
    </w:p>
    <w:p>
      <w:pPr>
        <w:spacing w:line="448" w:lineRule="exact"/>
        <w:ind w:firstLine="562" w:firstLineChars="200"/>
        <w:rPr>
          <w:rFonts w:ascii="仿宋" w:hAnsi="仿宋" w:eastAsia="仿宋"/>
          <w:b/>
          <w:sz w:val="28"/>
          <w:szCs w:val="28"/>
        </w:rPr>
      </w:pPr>
      <w:r>
        <w:rPr>
          <w:rFonts w:hint="eastAsia" w:ascii="仿宋" w:hAnsi="仿宋" w:eastAsia="仿宋"/>
          <w:b/>
          <w:sz w:val="28"/>
          <w:szCs w:val="28"/>
        </w:rPr>
        <w:t>三、拍卖结果公布</w:t>
      </w:r>
    </w:p>
    <w:p>
      <w:pPr>
        <w:spacing w:line="448" w:lineRule="exact"/>
        <w:ind w:firstLine="560" w:firstLineChars="200"/>
        <w:rPr>
          <w:rFonts w:ascii="仿宋" w:hAnsi="仿宋" w:eastAsia="仿宋"/>
          <w:sz w:val="28"/>
          <w:szCs w:val="28"/>
        </w:rPr>
      </w:pPr>
      <w:r>
        <w:rPr>
          <w:rFonts w:hint="eastAsia" w:ascii="仿宋" w:hAnsi="仿宋" w:eastAsia="仿宋"/>
          <w:sz w:val="28"/>
          <w:szCs w:val="28"/>
        </w:rPr>
        <w:t>本次拍卖结果将在拍卖人和委托人网站进行公布。</w:t>
      </w:r>
    </w:p>
    <w:p>
      <w:pPr>
        <w:spacing w:line="160" w:lineRule="exact"/>
        <w:rPr>
          <w:rFonts w:ascii="仿宋" w:hAnsi="仿宋" w:eastAsia="仿宋"/>
          <w:b/>
          <w:sz w:val="44"/>
          <w:szCs w:val="44"/>
        </w:rPr>
      </w:pPr>
    </w:p>
    <w:p>
      <w:pPr>
        <w:wordWrap w:val="0"/>
        <w:jc w:val="right"/>
        <w:rPr>
          <w:rFonts w:ascii="仿宋" w:hAnsi="仿宋" w:eastAsia="仿宋"/>
          <w:sz w:val="28"/>
          <w:szCs w:val="28"/>
        </w:rPr>
      </w:pPr>
      <w:r>
        <w:rPr>
          <w:rFonts w:ascii="仿宋" w:hAnsi="仿宋" w:eastAsia="仿宋"/>
          <w:sz w:val="28"/>
          <w:szCs w:val="28"/>
        </w:rPr>
        <w:t>2021年</w:t>
      </w:r>
      <w:r>
        <w:rPr>
          <w:rFonts w:hint="eastAsia" w:ascii="仿宋" w:hAnsi="仿宋" w:eastAsia="仿宋"/>
          <w:sz w:val="28"/>
          <w:szCs w:val="28"/>
        </w:rPr>
        <w:t xml:space="preserve"> 3</w:t>
      </w:r>
      <w:r>
        <w:rPr>
          <w:rFonts w:ascii="仿宋" w:hAnsi="仿宋" w:eastAsia="仿宋"/>
          <w:sz w:val="28"/>
          <w:szCs w:val="28"/>
        </w:rPr>
        <w:t>月</w:t>
      </w:r>
      <w:r>
        <w:rPr>
          <w:rFonts w:hint="eastAsia" w:ascii="仿宋" w:hAnsi="仿宋" w:eastAsia="仿宋"/>
          <w:sz w:val="28"/>
          <w:szCs w:val="28"/>
        </w:rPr>
        <w:t>3</w:t>
      </w:r>
      <w:r>
        <w:rPr>
          <w:rFonts w:ascii="仿宋" w:hAnsi="仿宋" w:eastAsia="仿宋"/>
          <w:sz w:val="28"/>
          <w:szCs w:val="28"/>
        </w:rPr>
        <w:t>日</w:t>
      </w:r>
    </w:p>
    <w:p>
      <w:pPr>
        <w:spacing w:line="16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500" w:lineRule="exact"/>
        <w:jc w:val="center"/>
        <w:rPr>
          <w:rFonts w:ascii="宋体" w:hAnsi="宋体"/>
          <w:b/>
          <w:sz w:val="36"/>
          <w:szCs w:val="36"/>
        </w:rPr>
      </w:pPr>
      <w:r>
        <w:rPr>
          <w:rFonts w:hint="eastAsia" w:ascii="宋体" w:hAnsi="宋体"/>
          <w:b/>
          <w:sz w:val="36"/>
          <w:szCs w:val="36"/>
        </w:rPr>
        <w:t>四川广元启明星铝业有限责任公司炭素阳极生产线资产</w:t>
      </w:r>
    </w:p>
    <w:p>
      <w:pPr>
        <w:spacing w:line="200" w:lineRule="exact"/>
        <w:jc w:val="center"/>
        <w:rPr>
          <w:rFonts w:ascii="仿宋" w:hAnsi="仿宋" w:eastAsia="仿宋"/>
          <w:b/>
          <w:sz w:val="36"/>
          <w:szCs w:val="36"/>
        </w:rPr>
      </w:pPr>
    </w:p>
    <w:p>
      <w:pPr>
        <w:spacing w:line="500" w:lineRule="exact"/>
        <w:jc w:val="center"/>
        <w:rPr>
          <w:rFonts w:ascii="仿宋" w:hAnsi="仿宋" w:eastAsia="仿宋"/>
          <w:b/>
          <w:spacing w:val="40"/>
          <w:sz w:val="36"/>
          <w:szCs w:val="36"/>
        </w:rPr>
      </w:pPr>
      <w:r>
        <w:rPr>
          <w:rFonts w:hint="eastAsia" w:ascii="宋体" w:hAnsi="宋体"/>
          <w:b/>
          <w:spacing w:val="40"/>
          <w:sz w:val="36"/>
          <w:szCs w:val="36"/>
        </w:rPr>
        <w:t>现场竞买协议</w:t>
      </w:r>
    </w:p>
    <w:p>
      <w:pPr>
        <w:spacing w:line="240" w:lineRule="exact"/>
        <w:jc w:val="center"/>
        <w:rPr>
          <w:rFonts w:ascii="仿宋" w:hAnsi="仿宋" w:eastAsia="仿宋"/>
          <w:sz w:val="24"/>
        </w:rPr>
      </w:pPr>
    </w:p>
    <w:p>
      <w:pPr>
        <w:spacing w:line="600" w:lineRule="exact"/>
        <w:rPr>
          <w:rFonts w:ascii="仿宋" w:hAnsi="仿宋" w:eastAsia="仿宋"/>
          <w:b/>
          <w:sz w:val="28"/>
          <w:szCs w:val="28"/>
        </w:rPr>
      </w:pPr>
      <w:r>
        <w:rPr>
          <w:rFonts w:hint="eastAsia" w:ascii="仿宋" w:hAnsi="仿宋" w:eastAsia="仿宋"/>
          <w:b/>
          <w:sz w:val="28"/>
          <w:szCs w:val="28"/>
        </w:rPr>
        <w:t xml:space="preserve">甲方（竞买人）： </w:t>
      </w:r>
    </w:p>
    <w:p>
      <w:pPr>
        <w:spacing w:line="600" w:lineRule="exact"/>
        <w:rPr>
          <w:rFonts w:ascii="仿宋" w:hAnsi="仿宋" w:eastAsia="仿宋"/>
          <w:sz w:val="28"/>
          <w:szCs w:val="28"/>
        </w:rPr>
      </w:pPr>
      <w:r>
        <w:rPr>
          <w:rFonts w:hint="eastAsia" w:ascii="仿宋" w:hAnsi="仿宋" w:eastAsia="仿宋"/>
          <w:b/>
          <w:sz w:val="28"/>
          <w:szCs w:val="28"/>
        </w:rPr>
        <w:t>乙方（拍卖人）：广元市拍卖有限公司</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根据《中华人民共和国拍卖法》、《中华人民共和国</w:t>
      </w:r>
      <w:r>
        <w:rPr>
          <w:rFonts w:hint="eastAsia" w:ascii="仿宋" w:hAnsi="仿宋" w:eastAsia="仿宋" w:cs="新宋体"/>
          <w:sz w:val="28"/>
          <w:szCs w:val="28"/>
        </w:rPr>
        <w:t>民法典</w:t>
      </w:r>
      <w:r>
        <w:rPr>
          <w:rFonts w:hint="eastAsia" w:ascii="仿宋" w:hAnsi="仿宋" w:eastAsia="仿宋"/>
          <w:sz w:val="28"/>
          <w:szCs w:val="28"/>
        </w:rPr>
        <w:t>》的相关规定，遵循“公开、公平、公正、诚实信用”的原则。甲方自愿参加乙方于2021年4月7日10:00举行的拍卖会，并通过现场拍卖的方式参加竞买，经双方协商一致后达成以下协议，双方信守:</w:t>
      </w:r>
    </w:p>
    <w:p>
      <w:pPr>
        <w:spacing w:line="600" w:lineRule="exact"/>
        <w:ind w:firstLine="647" w:firstLineChars="230"/>
        <w:rPr>
          <w:rFonts w:ascii="仿宋" w:hAnsi="仿宋" w:eastAsia="仿宋"/>
          <w:b/>
          <w:sz w:val="28"/>
          <w:szCs w:val="28"/>
        </w:rPr>
      </w:pPr>
      <w:r>
        <w:rPr>
          <w:rFonts w:hint="eastAsia" w:ascii="仿宋" w:hAnsi="仿宋" w:eastAsia="仿宋"/>
          <w:b/>
          <w:sz w:val="28"/>
          <w:szCs w:val="28"/>
        </w:rPr>
        <w:t>一、法律责任</w:t>
      </w:r>
    </w:p>
    <w:p>
      <w:pPr>
        <w:spacing w:line="600" w:lineRule="exact"/>
        <w:ind w:firstLine="600" w:firstLineChars="200"/>
        <w:rPr>
          <w:rFonts w:ascii="仿宋" w:hAnsi="仿宋" w:eastAsia="仿宋"/>
          <w:sz w:val="30"/>
          <w:szCs w:val="30"/>
        </w:rPr>
      </w:pPr>
      <w:r>
        <w:rPr>
          <w:rFonts w:hint="eastAsia" w:ascii="仿宋" w:hAnsi="仿宋" w:eastAsia="仿宋"/>
          <w:spacing w:val="10"/>
          <w:sz w:val="28"/>
          <w:szCs w:val="28"/>
        </w:rPr>
        <w:t>1、甲方具备民事权利能力和民事行为能力，且具备法律、法规规定的竞买条件或资格，具有履行本协议相应实力</w:t>
      </w:r>
      <w:r>
        <w:rPr>
          <w:rFonts w:hint="eastAsia" w:ascii="仿宋" w:hAnsi="仿宋" w:eastAsia="仿宋"/>
          <w:sz w:val="28"/>
          <w:szCs w:val="28"/>
        </w:rPr>
        <w:t>。</w:t>
      </w:r>
    </w:p>
    <w:p>
      <w:pPr>
        <w:spacing w:line="600" w:lineRule="exact"/>
        <w:ind w:firstLine="600" w:firstLineChars="200"/>
        <w:rPr>
          <w:rFonts w:ascii="仿宋" w:hAnsi="仿宋" w:eastAsia="仿宋"/>
          <w:b/>
          <w:spacing w:val="10"/>
          <w:sz w:val="28"/>
          <w:szCs w:val="28"/>
        </w:rPr>
      </w:pPr>
      <w:r>
        <w:rPr>
          <w:rFonts w:hint="eastAsia" w:ascii="仿宋" w:hAnsi="仿宋" w:eastAsia="仿宋"/>
          <w:spacing w:val="10"/>
          <w:sz w:val="28"/>
          <w:szCs w:val="28"/>
        </w:rPr>
        <w:t>2、乙方对本次拍卖标的进行了公告，对标的进行了充分展示，并向甲方提供了标的相关资料及证明文件等。同时，甲方已充分了解所要竞买标的的情况，对自己的竞买行为自愿承担法律责任。</w:t>
      </w:r>
      <w:r>
        <w:rPr>
          <w:rFonts w:hint="eastAsia" w:ascii="仿宋" w:hAnsi="仿宋" w:eastAsia="仿宋"/>
          <w:sz w:val="28"/>
          <w:szCs w:val="28"/>
        </w:rPr>
        <w:t>签署本《竞买协议》表明甲方已对拍卖标的的现状进行了查验，且对乙方就拍卖标的现状拍卖无异议。</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二、拍卖时间、拍卖标的、拍卖方式</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乙方于2021年4月7日10:00在乙方拍卖厅和</w:t>
      </w:r>
      <w:r>
        <w:rPr>
          <w:rFonts w:hint="eastAsia" w:ascii="仿宋" w:hAnsi="仿宋" w:eastAsia="仿宋" w:cs="仿宋"/>
          <w:bCs/>
          <w:kern w:val="0"/>
          <w:sz w:val="28"/>
          <w:szCs w:val="28"/>
        </w:rPr>
        <w:t>中国拍卖行业协会网络平台（http://paimai.caa123.org.cn）同步拍卖</w:t>
      </w:r>
      <w:r>
        <w:rPr>
          <w:rFonts w:hint="eastAsia" w:ascii="仿宋" w:hAnsi="仿宋" w:eastAsia="仿宋" w:cs="仿宋"/>
          <w:bCs/>
          <w:sz w:val="28"/>
          <w:szCs w:val="28"/>
        </w:rPr>
        <w:t>位于四川省广元经济技术开发区袁家坝工业园区下列资产（详见拍卖资产清单）：</w:t>
      </w:r>
    </w:p>
    <w:p>
      <w:pPr>
        <w:spacing w:line="600" w:lineRule="exact"/>
        <w:ind w:firstLine="560" w:firstLineChars="200"/>
        <w:rPr>
          <w:rFonts w:ascii="仿宋" w:hAnsi="仿宋" w:eastAsia="仿宋" w:cs="仿宋"/>
          <w:bCs/>
          <w:spacing w:val="-8"/>
          <w:sz w:val="28"/>
          <w:szCs w:val="28"/>
        </w:rPr>
      </w:pPr>
      <w:r>
        <w:rPr>
          <w:rFonts w:hint="eastAsia" w:ascii="仿宋" w:hAnsi="仿宋" w:eastAsia="仿宋" w:cs="仿宋"/>
          <w:bCs/>
          <w:sz w:val="28"/>
          <w:szCs w:val="28"/>
        </w:rPr>
        <w:t>1、</w:t>
      </w:r>
      <w:r>
        <w:rPr>
          <w:rFonts w:hint="eastAsia" w:ascii="仿宋" w:hAnsi="仿宋" w:eastAsia="仿宋" w:cs="仿宋"/>
          <w:bCs/>
          <w:spacing w:val="-8"/>
          <w:sz w:val="28"/>
          <w:szCs w:val="28"/>
        </w:rPr>
        <w:t>工业用途土地使用权面积约250.86亩，出让期限至2053年10月16日止；</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2、房屋建筑物：房屋60幢，建筑面积约56335㎡；</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3、构筑物(含3个煅后料仓、３个筒仓及两个烟囱)；</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4、机器设备（含炭素阳极生产线、余热电厂）。</w:t>
      </w:r>
    </w:p>
    <w:p>
      <w:pPr>
        <w:widowControl/>
        <w:shd w:val="clear" w:color="auto" w:fill="FFFFFF"/>
        <w:spacing w:line="600" w:lineRule="exact"/>
        <w:ind w:firstLine="480"/>
        <w:rPr>
          <w:rFonts w:ascii="仿宋" w:hAnsi="仿宋" w:eastAsia="仿宋" w:cs="宋体"/>
          <w:kern w:val="0"/>
          <w:sz w:val="28"/>
          <w:szCs w:val="28"/>
        </w:rPr>
      </w:pPr>
      <w:r>
        <w:rPr>
          <w:rFonts w:hint="eastAsia" w:ascii="仿宋" w:hAnsi="仿宋" w:eastAsia="仿宋" w:cs="宋体"/>
          <w:kern w:val="0"/>
          <w:sz w:val="28"/>
          <w:szCs w:val="28"/>
        </w:rPr>
        <w:t>上述标的现状整体拍卖。其名称、型号、数量、质量、状态等以交付时现场实物为准;土地使用权及建筑物面积以产权管理部门最终确权为准。</w:t>
      </w:r>
    </w:p>
    <w:p>
      <w:pPr>
        <w:spacing w:line="600" w:lineRule="exact"/>
        <w:ind w:firstLine="551" w:firstLineChars="196"/>
        <w:rPr>
          <w:rFonts w:ascii="仿宋" w:hAnsi="仿宋" w:eastAsia="仿宋" w:cs="仿宋"/>
          <w:b/>
          <w:kern w:val="0"/>
          <w:sz w:val="28"/>
          <w:szCs w:val="28"/>
        </w:rPr>
      </w:pPr>
      <w:r>
        <w:rPr>
          <w:rFonts w:hint="eastAsia" w:ascii="仿宋" w:hAnsi="仿宋" w:eastAsia="仿宋" w:cs="仿宋"/>
          <w:b/>
          <w:kern w:val="0"/>
          <w:sz w:val="28"/>
          <w:szCs w:val="28"/>
        </w:rPr>
        <w:t>三、标的展示地点</w:t>
      </w:r>
    </w:p>
    <w:p>
      <w:pPr>
        <w:pStyle w:val="7"/>
        <w:spacing w:before="0" w:beforeAutospacing="0" w:after="0" w:afterAutospacing="0" w:line="600" w:lineRule="exact"/>
        <w:ind w:firstLine="560" w:firstLineChars="200"/>
        <w:jc w:val="both"/>
        <w:rPr>
          <w:rFonts w:ascii="仿宋" w:hAnsi="仿宋" w:eastAsia="仿宋" w:cs="Arial"/>
          <w:sz w:val="28"/>
          <w:szCs w:val="28"/>
        </w:rPr>
      </w:pPr>
      <w:r>
        <w:rPr>
          <w:rFonts w:hint="eastAsia" w:ascii="仿宋" w:hAnsi="仿宋" w:eastAsia="仿宋"/>
          <w:bCs/>
          <w:sz w:val="28"/>
          <w:szCs w:val="28"/>
        </w:rPr>
        <w:t>乙方于2021年3月3日至</w:t>
      </w:r>
      <w:r>
        <w:rPr>
          <w:rFonts w:hint="eastAsia" w:ascii="仿宋" w:hAnsi="仿宋" w:eastAsia="仿宋"/>
          <w:sz w:val="28"/>
          <w:szCs w:val="28"/>
        </w:rPr>
        <w:t>2021年4月2日止在原址就地展示拍卖标的</w:t>
      </w:r>
      <w:r>
        <w:rPr>
          <w:rFonts w:hint="eastAsia" w:ascii="仿宋" w:hAnsi="仿宋" w:eastAsia="仿宋"/>
          <w:bCs/>
          <w:sz w:val="28"/>
          <w:szCs w:val="28"/>
        </w:rPr>
        <w:t>。</w:t>
      </w:r>
      <w:r>
        <w:rPr>
          <w:rFonts w:hint="eastAsia" w:ascii="仿宋" w:hAnsi="仿宋" w:eastAsia="仿宋" w:cs="Arial"/>
          <w:sz w:val="28"/>
          <w:szCs w:val="28"/>
        </w:rPr>
        <w:t>竞买人应实地查验、了解标的现状及瑕疵。</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四、违约责任</w:t>
      </w:r>
    </w:p>
    <w:p>
      <w:pPr>
        <w:spacing w:line="600" w:lineRule="exact"/>
        <w:ind w:firstLine="480"/>
        <w:rPr>
          <w:rFonts w:ascii="仿宋" w:hAnsi="仿宋" w:eastAsia="仿宋"/>
          <w:sz w:val="28"/>
          <w:szCs w:val="28"/>
        </w:rPr>
      </w:pPr>
      <w:r>
        <w:rPr>
          <w:rFonts w:hint="eastAsia" w:ascii="仿宋" w:hAnsi="仿宋" w:eastAsia="仿宋"/>
          <w:sz w:val="28"/>
          <w:szCs w:val="28"/>
        </w:rPr>
        <w:t xml:space="preserve"> 甲方竞得拍卖标的后若拒绝在竞价记录或《拍卖成交确认书》上签字或未在约定期限内交清拍卖价款和拍卖佣金的视为违约，不但无权取得拍卖标的，还将承担以下违约责任：</w:t>
      </w:r>
    </w:p>
    <w:p>
      <w:pPr>
        <w:spacing w:line="600" w:lineRule="exact"/>
        <w:rPr>
          <w:rFonts w:ascii="仿宋" w:hAnsi="仿宋" w:eastAsia="仿宋"/>
          <w:sz w:val="28"/>
          <w:szCs w:val="28"/>
        </w:rPr>
      </w:pPr>
      <w:r>
        <w:rPr>
          <w:rFonts w:hint="eastAsia" w:ascii="仿宋" w:hAnsi="仿宋" w:eastAsia="仿宋"/>
          <w:sz w:val="28"/>
          <w:szCs w:val="28"/>
        </w:rPr>
        <w:t xml:space="preserve">     1、竞买保证金不予退还；</w:t>
      </w:r>
    </w:p>
    <w:p>
      <w:pPr>
        <w:spacing w:line="600" w:lineRule="exact"/>
        <w:rPr>
          <w:rFonts w:ascii="仿宋" w:hAnsi="仿宋" w:eastAsia="仿宋"/>
          <w:sz w:val="28"/>
          <w:szCs w:val="28"/>
        </w:rPr>
      </w:pPr>
      <w:r>
        <w:rPr>
          <w:rFonts w:hint="eastAsia" w:ascii="仿宋" w:hAnsi="仿宋" w:eastAsia="仿宋"/>
          <w:sz w:val="28"/>
          <w:szCs w:val="28"/>
        </w:rPr>
        <w:t xml:space="preserve">     2、</w:t>
      </w:r>
      <w:r>
        <w:rPr>
          <w:rFonts w:hint="eastAsia" w:ascii="仿宋" w:hAnsi="仿宋" w:eastAsia="仿宋" w:cs="宋体"/>
          <w:kern w:val="0"/>
          <w:sz w:val="28"/>
          <w:szCs w:val="28"/>
        </w:rPr>
        <w:t>拍卖成交后买受人悔拍的，其交纳的竞买保证金不予退还，在扣除拍卖佣金后，归属于委托人用于清偿债务</w:t>
      </w:r>
      <w:r>
        <w:rPr>
          <w:rFonts w:hint="eastAsia" w:ascii="仿宋" w:hAnsi="仿宋" w:eastAsia="仿宋"/>
          <w:sz w:val="28"/>
          <w:szCs w:val="28"/>
        </w:rPr>
        <w:t>；</w:t>
      </w:r>
    </w:p>
    <w:p>
      <w:pPr>
        <w:spacing w:line="600" w:lineRule="exact"/>
        <w:ind w:firstLine="700" w:firstLineChars="250"/>
        <w:rPr>
          <w:rFonts w:ascii="仿宋" w:hAnsi="仿宋" w:eastAsia="仿宋"/>
          <w:sz w:val="28"/>
          <w:szCs w:val="28"/>
        </w:rPr>
      </w:pPr>
      <w:r>
        <w:rPr>
          <w:rFonts w:hint="eastAsia" w:ascii="仿宋" w:hAnsi="仿宋" w:eastAsia="仿宋"/>
          <w:sz w:val="28"/>
          <w:szCs w:val="28"/>
        </w:rPr>
        <w:t>3、法律、法规规定的其他责任</w:t>
      </w:r>
      <w:r>
        <w:rPr>
          <w:rFonts w:hint="eastAsia" w:ascii="仿宋" w:hAnsi="仿宋" w:eastAsia="仿宋" w:cs="宋体"/>
          <w:kern w:val="0"/>
          <w:sz w:val="28"/>
          <w:szCs w:val="28"/>
        </w:rPr>
        <w:t>。</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五、竞买保证金</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1、甲方报名时向乙方交纳竞买保证金人民2000万元；</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2、如未竞得或流标，乙方在</w:t>
      </w:r>
      <w:r>
        <w:rPr>
          <w:rFonts w:hint="eastAsia" w:ascii="仿宋" w:hAnsi="仿宋" w:eastAsia="仿宋"/>
          <w:sz w:val="28"/>
          <w:szCs w:val="28"/>
          <w:u w:val="single"/>
        </w:rPr>
        <w:t xml:space="preserve"> 3 </w:t>
      </w:r>
      <w:r>
        <w:rPr>
          <w:rFonts w:hint="eastAsia" w:ascii="仿宋" w:hAnsi="仿宋" w:eastAsia="仿宋"/>
          <w:sz w:val="28"/>
          <w:szCs w:val="28"/>
        </w:rPr>
        <w:t>个工作日内退还保证金（不计息）；</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3、若甲方成为买受人，所交纳的竞买保证在扣除应向拍卖人支付的拍卖佣金后，余下部分转作履约定金。</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六、拍卖佣金和价款的交付</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1、拍卖人按最高人民法院法释［2004］16号规定的标准下浮</w:t>
      </w:r>
      <w:r>
        <w:rPr>
          <w:rFonts w:hint="eastAsia" w:ascii="仿宋" w:hAnsi="仿宋" w:eastAsia="仿宋"/>
          <w:sz w:val="28"/>
          <w:szCs w:val="28"/>
          <w:u w:val="single"/>
        </w:rPr>
        <w:t xml:space="preserve"> 50 </w:t>
      </w:r>
      <w:r>
        <w:rPr>
          <w:rFonts w:hint="eastAsia" w:ascii="仿宋" w:hAnsi="仿宋" w:eastAsia="仿宋"/>
          <w:sz w:val="28"/>
          <w:szCs w:val="28"/>
        </w:rPr>
        <w:t>%向买受人收取拍卖佣金，从买受人交纳的竞买保证金中直接扣除。</w:t>
      </w:r>
    </w:p>
    <w:p>
      <w:pPr>
        <w:ind w:firstLine="560" w:firstLineChars="200"/>
        <w:rPr>
          <w:rFonts w:ascii="仿宋" w:hAnsi="仿宋" w:eastAsia="仿宋"/>
          <w:sz w:val="28"/>
          <w:szCs w:val="28"/>
        </w:rPr>
      </w:pPr>
      <w:r>
        <w:rPr>
          <w:rFonts w:hint="eastAsia" w:ascii="仿宋" w:hAnsi="仿宋" w:eastAsia="仿宋"/>
          <w:sz w:val="28"/>
          <w:szCs w:val="28"/>
        </w:rPr>
        <w:t>2、买受人须在拍卖成交之日起</w:t>
      </w:r>
      <w:r>
        <w:rPr>
          <w:rFonts w:hint="eastAsia" w:ascii="仿宋" w:hAnsi="仿宋" w:eastAsia="仿宋"/>
          <w:sz w:val="28"/>
          <w:szCs w:val="28"/>
          <w:u w:val="single"/>
        </w:rPr>
        <w:t>20个工作日内付清拍卖总价款的50%，剩余50%价款在60日内付清</w:t>
      </w:r>
      <w:r>
        <w:rPr>
          <w:rFonts w:hint="eastAsia" w:ascii="仿宋" w:hAnsi="仿宋" w:eastAsia="仿宋"/>
          <w:sz w:val="28"/>
          <w:szCs w:val="28"/>
        </w:rPr>
        <w:t>。</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七、拍卖标的交付或转移的时间、方式</w:t>
      </w:r>
    </w:p>
    <w:p>
      <w:pPr>
        <w:ind w:firstLine="560" w:firstLineChars="200"/>
        <w:jc w:val="left"/>
        <w:rPr>
          <w:rFonts w:ascii="仿宋" w:hAnsi="仿宋" w:eastAsia="仿宋"/>
          <w:sz w:val="28"/>
          <w:szCs w:val="28"/>
        </w:rPr>
      </w:pPr>
      <w:r>
        <w:rPr>
          <w:rFonts w:hint="eastAsia" w:ascii="仿宋" w:hAnsi="仿宋" w:eastAsia="仿宋"/>
          <w:sz w:val="28"/>
          <w:szCs w:val="28"/>
        </w:rPr>
        <w:t>买受人在拍卖成交价款付清之日起</w:t>
      </w:r>
      <w:r>
        <w:rPr>
          <w:rFonts w:hint="eastAsia" w:ascii="仿宋" w:hAnsi="仿宋" w:eastAsia="仿宋"/>
          <w:sz w:val="28"/>
          <w:szCs w:val="28"/>
          <w:u w:val="single"/>
        </w:rPr>
        <w:t xml:space="preserve"> 10 </w:t>
      </w:r>
      <w:r>
        <w:rPr>
          <w:rFonts w:hint="eastAsia" w:ascii="仿宋" w:hAnsi="仿宋" w:eastAsia="仿宋"/>
          <w:sz w:val="28"/>
          <w:szCs w:val="28"/>
        </w:rPr>
        <w:t>个工作日内，委托人在收到拍卖人出具的《拍卖回执书》后，由委托人在原址按现状向买受人移交实物标的，拍卖人协助监督移交。交付方式包括房屋现场指认、单价5万元以上的实物盘点及权属凭证的移交。</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八、中止和终止拍卖的办法</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按商务部《拍卖管理办法》、《四川省拍卖市场管理规定》中相关条款执行。</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九、瑕疵声明</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1、</w:t>
      </w:r>
      <w:r>
        <w:rPr>
          <w:rFonts w:hint="eastAsia" w:ascii="仿宋" w:hAnsi="仿宋" w:eastAsia="仿宋"/>
          <w:b/>
          <w:sz w:val="28"/>
          <w:szCs w:val="28"/>
          <w:u w:val="single"/>
        </w:rPr>
        <w:t>标的以移交时的实物和现状为准，拍卖资产清单所列财产仅供参考</w:t>
      </w:r>
      <w:r>
        <w:rPr>
          <w:rFonts w:hint="eastAsia" w:ascii="仿宋" w:hAnsi="仿宋" w:eastAsia="仿宋"/>
          <w:b/>
          <w:sz w:val="28"/>
          <w:szCs w:val="28"/>
        </w:rPr>
        <w:t>。</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2、</w:t>
      </w:r>
      <w:r>
        <w:rPr>
          <w:rFonts w:hint="eastAsia" w:ascii="仿宋" w:hAnsi="仿宋" w:eastAsia="仿宋"/>
          <w:b/>
          <w:sz w:val="28"/>
          <w:szCs w:val="28"/>
          <w:u w:val="single"/>
        </w:rPr>
        <w:t>拍卖标的中的土地资产，其使用权面积有可能变化</w:t>
      </w:r>
      <w:r>
        <w:rPr>
          <w:rFonts w:hint="eastAsia" w:ascii="仿宋" w:hAnsi="仿宋" w:eastAsia="仿宋"/>
          <w:b/>
          <w:sz w:val="28"/>
          <w:szCs w:val="28"/>
        </w:rPr>
        <w:t>。</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3、</w:t>
      </w:r>
      <w:r>
        <w:rPr>
          <w:rFonts w:hint="eastAsia" w:ascii="仿宋" w:hAnsi="仿宋" w:eastAsia="仿宋"/>
          <w:b/>
          <w:sz w:val="28"/>
          <w:szCs w:val="28"/>
          <w:u w:val="single"/>
        </w:rPr>
        <w:t>本次拍卖之标的乙方知晓的瑕疵乙方已告知甲方，未知瑕疵由甲方自行了解；由于乙方未知瑕疵给甲方造成损害的，乙方和委托人不承担瑕疵担保</w:t>
      </w:r>
      <w:r>
        <w:rPr>
          <w:rFonts w:hint="eastAsia" w:ascii="仿宋" w:hAnsi="仿宋" w:eastAsia="仿宋"/>
          <w:b/>
          <w:sz w:val="28"/>
          <w:szCs w:val="28"/>
        </w:rPr>
        <w:t>。</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十、其他约定</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1、</w:t>
      </w:r>
      <w:r>
        <w:rPr>
          <w:rFonts w:hint="eastAsia" w:ascii="仿宋" w:hAnsi="仿宋" w:eastAsia="仿宋"/>
          <w:b/>
          <w:sz w:val="28"/>
          <w:szCs w:val="28"/>
          <w:u w:val="single"/>
        </w:rPr>
        <w:t>乙方已告知甲方拍卖标的的瑕疵及风险，并表示不承担瑕疵担保责任，甲方对此表示理解并愿意遵守本次拍卖会的拍卖规则</w:t>
      </w:r>
      <w:r>
        <w:rPr>
          <w:rFonts w:hint="eastAsia" w:ascii="仿宋" w:hAnsi="仿宋" w:eastAsia="仿宋"/>
          <w:b/>
          <w:sz w:val="28"/>
          <w:szCs w:val="28"/>
        </w:rPr>
        <w:t>；</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2、</w:t>
      </w:r>
      <w:r>
        <w:rPr>
          <w:rFonts w:hint="eastAsia" w:ascii="仿宋" w:hAnsi="仿宋" w:eastAsia="仿宋"/>
          <w:b/>
          <w:sz w:val="28"/>
          <w:szCs w:val="28"/>
          <w:u w:val="single"/>
        </w:rPr>
        <w:t>甲方认真阅读并理解了本场拍卖会《竞买须知》所列事项，自愿遵守其各项要求，并对此不持异议</w:t>
      </w:r>
      <w:r>
        <w:rPr>
          <w:rFonts w:hint="eastAsia" w:ascii="仿宋" w:hAnsi="仿宋" w:eastAsia="仿宋"/>
          <w:b/>
          <w:sz w:val="28"/>
          <w:szCs w:val="28"/>
        </w:rPr>
        <w:t>；</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3、</w:t>
      </w:r>
      <w:r>
        <w:rPr>
          <w:rFonts w:hint="eastAsia" w:ascii="仿宋" w:hAnsi="仿宋" w:eastAsia="仿宋"/>
          <w:b/>
          <w:sz w:val="28"/>
          <w:szCs w:val="28"/>
          <w:u w:val="single"/>
        </w:rPr>
        <w:t>拍卖标的中的土地资产，其使用权面积有可能变化，甲方若买受成功后承诺同意按产权管理部门确权的面积办理产权转移登记手续，结算价格以评估价格为基数计算差价，成交价款总额作相应调整</w:t>
      </w:r>
      <w:r>
        <w:rPr>
          <w:rFonts w:hint="eastAsia" w:ascii="仿宋" w:hAnsi="仿宋" w:eastAsia="仿宋"/>
          <w:b/>
          <w:sz w:val="28"/>
          <w:szCs w:val="28"/>
        </w:rPr>
        <w:t>；</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4、</w:t>
      </w:r>
      <w:r>
        <w:rPr>
          <w:rFonts w:hint="eastAsia" w:ascii="仿宋" w:hAnsi="仿宋" w:eastAsia="仿宋"/>
          <w:b/>
          <w:sz w:val="28"/>
          <w:szCs w:val="28"/>
          <w:u w:val="single"/>
        </w:rPr>
        <w:t>若甲方成功买受标的后则自行办理产权过户登记手续，乙方配合委托人协助甲方接收拍卖标的，办理产权过户登记手续。产权过户涉及的税、费由委托人和买受人按国家规定各自承担相应部分，产权证工本费由买受人承担</w:t>
      </w:r>
      <w:r>
        <w:rPr>
          <w:rFonts w:hint="eastAsia" w:ascii="仿宋" w:hAnsi="仿宋" w:eastAsia="仿宋"/>
          <w:b/>
          <w:sz w:val="28"/>
          <w:szCs w:val="28"/>
        </w:rPr>
        <w:t>。</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十一、</w:t>
      </w:r>
      <w:r>
        <w:rPr>
          <w:rFonts w:hint="eastAsia" w:ascii="仿宋" w:hAnsi="仿宋" w:eastAsia="仿宋"/>
          <w:sz w:val="28"/>
          <w:szCs w:val="28"/>
        </w:rPr>
        <w:t xml:space="preserve">乙方之拍卖标的均根据委托人提供的权益进行拍卖，甲方若发现买受的标的有与委托人提供的权益不符或者存在其它瑕疵，由委托人负责解决。 </w:t>
      </w:r>
    </w:p>
    <w:p>
      <w:pPr>
        <w:spacing w:line="600" w:lineRule="exact"/>
        <w:ind w:firstLine="562" w:firstLineChars="200"/>
        <w:rPr>
          <w:rFonts w:ascii="仿宋" w:hAnsi="仿宋" w:eastAsia="仿宋"/>
          <w:b/>
          <w:sz w:val="28"/>
          <w:szCs w:val="28"/>
        </w:rPr>
      </w:pPr>
      <w:r>
        <w:rPr>
          <w:rFonts w:hint="eastAsia" w:ascii="仿宋" w:hAnsi="仿宋" w:eastAsia="仿宋"/>
          <w:b/>
          <w:snapToGrid w:val="0"/>
          <w:kern w:val="0"/>
          <w:sz w:val="28"/>
          <w:szCs w:val="28"/>
        </w:rPr>
        <w:t>十二、</w:t>
      </w:r>
      <w:r>
        <w:rPr>
          <w:rFonts w:hint="eastAsia" w:ascii="仿宋" w:hAnsi="仿宋" w:eastAsia="仿宋"/>
          <w:b/>
          <w:sz w:val="28"/>
          <w:szCs w:val="28"/>
        </w:rPr>
        <w:t>争议的解决方式</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双方在履行协议过程中发生争议的，可协商解决。若协商不成，可按以下第</w:t>
      </w:r>
      <w:r>
        <w:rPr>
          <w:rFonts w:hint="eastAsia" w:ascii="仿宋" w:hAnsi="仿宋" w:eastAsia="仿宋"/>
          <w:sz w:val="28"/>
          <w:szCs w:val="28"/>
          <w:u w:val="single"/>
        </w:rPr>
        <w:t>Ｂ</w:t>
      </w:r>
      <w:r>
        <w:rPr>
          <w:rFonts w:hint="eastAsia" w:ascii="仿宋" w:hAnsi="仿宋" w:eastAsia="仿宋"/>
          <w:sz w:val="28"/>
          <w:szCs w:val="28"/>
        </w:rPr>
        <w:t>种方式解决：</w:t>
      </w:r>
    </w:p>
    <w:p>
      <w:pPr>
        <w:spacing w:line="600" w:lineRule="exact"/>
        <w:ind w:firstLine="560" w:firstLineChars="200"/>
        <w:rPr>
          <w:rFonts w:ascii="仿宋" w:hAnsi="仿宋" w:eastAsia="仿宋"/>
          <w:b/>
          <w:sz w:val="28"/>
          <w:szCs w:val="28"/>
        </w:rPr>
      </w:pPr>
      <w:r>
        <w:rPr>
          <w:rFonts w:hint="eastAsia" w:ascii="仿宋" w:hAnsi="仿宋" w:eastAsia="仿宋"/>
          <w:sz w:val="28"/>
          <w:szCs w:val="28"/>
        </w:rPr>
        <w:t>Ａ、向仲裁委员会申请仲裁；    Ｂ、向标的所在地人民法院诉讼。</w:t>
      </w:r>
    </w:p>
    <w:p>
      <w:pPr>
        <w:spacing w:line="600" w:lineRule="exact"/>
        <w:ind w:firstLine="562" w:firstLineChars="200"/>
        <w:rPr>
          <w:rFonts w:ascii="仿宋" w:hAnsi="仿宋" w:eastAsia="仿宋"/>
          <w:snapToGrid w:val="0"/>
          <w:kern w:val="0"/>
          <w:sz w:val="28"/>
          <w:szCs w:val="28"/>
        </w:rPr>
      </w:pPr>
      <w:r>
        <w:rPr>
          <w:rFonts w:hint="eastAsia" w:ascii="仿宋" w:hAnsi="仿宋" w:eastAsia="仿宋"/>
          <w:b/>
          <w:snapToGrid w:val="0"/>
          <w:kern w:val="0"/>
          <w:sz w:val="28"/>
          <w:szCs w:val="28"/>
        </w:rPr>
        <w:t>十三、本协议共肆页，壹式叁份</w:t>
      </w:r>
      <w:r>
        <w:rPr>
          <w:rFonts w:hint="eastAsia" w:ascii="仿宋" w:hAnsi="仿宋" w:eastAsia="仿宋"/>
          <w:snapToGrid w:val="0"/>
          <w:kern w:val="0"/>
          <w:sz w:val="28"/>
          <w:szCs w:val="28"/>
        </w:rPr>
        <w:t>，甲方持壹份，乙方持贰份。自双方代表人签字盖章后生效。</w:t>
      </w:r>
    </w:p>
    <w:p>
      <w:pPr>
        <w:spacing w:line="480" w:lineRule="exact"/>
        <w:rPr>
          <w:rFonts w:ascii="仿宋" w:hAnsi="仿宋" w:eastAsia="仿宋"/>
          <w:snapToGrid w:val="0"/>
          <w:kern w:val="0"/>
          <w:sz w:val="28"/>
          <w:szCs w:val="28"/>
        </w:rPr>
      </w:pPr>
    </w:p>
    <w:p>
      <w:pPr>
        <w:spacing w:line="480" w:lineRule="exact"/>
        <w:rPr>
          <w:rFonts w:ascii="仿宋" w:hAnsi="仿宋" w:eastAsia="仿宋"/>
          <w:snapToGrid w:val="0"/>
          <w:kern w:val="0"/>
          <w:sz w:val="28"/>
          <w:szCs w:val="28"/>
        </w:rPr>
      </w:pPr>
    </w:p>
    <w:p>
      <w:pPr>
        <w:tabs>
          <w:tab w:val="left" w:pos="900"/>
        </w:tabs>
        <w:spacing w:line="560" w:lineRule="exact"/>
        <w:ind w:firstLine="840" w:firstLineChars="300"/>
        <w:rPr>
          <w:rFonts w:ascii="仿宋" w:hAnsi="仿宋" w:eastAsia="仿宋" w:cs="宋体"/>
          <w:spacing w:val="-20"/>
          <w:sz w:val="28"/>
          <w:szCs w:val="28"/>
        </w:rPr>
      </w:pPr>
      <w:r>
        <w:rPr>
          <w:rFonts w:hint="eastAsia" w:ascii="仿宋" w:hAnsi="仿宋" w:eastAsia="仿宋" w:cs="宋体"/>
          <w:sz w:val="28"/>
          <w:szCs w:val="28"/>
        </w:rPr>
        <w:t>竞买人（盖章）：                拍  卖  人（盖章）：</w:t>
      </w:r>
      <w:r>
        <w:rPr>
          <w:rFonts w:hint="eastAsia" w:ascii="仿宋" w:hAnsi="仿宋" w:eastAsia="仿宋" w:cs="宋体"/>
          <w:spacing w:val="-20"/>
          <w:sz w:val="28"/>
          <w:szCs w:val="28"/>
        </w:rPr>
        <w:t xml:space="preserve"> </w:t>
      </w:r>
    </w:p>
    <w:p>
      <w:pPr>
        <w:tabs>
          <w:tab w:val="left" w:pos="900"/>
        </w:tabs>
        <w:spacing w:line="200" w:lineRule="exact"/>
        <w:ind w:firstLine="480" w:firstLineChars="200"/>
        <w:rPr>
          <w:rFonts w:ascii="仿宋" w:hAnsi="仿宋" w:eastAsia="仿宋" w:cs="宋体"/>
          <w:spacing w:val="-20"/>
          <w:sz w:val="28"/>
          <w:szCs w:val="28"/>
        </w:rPr>
      </w:pPr>
    </w:p>
    <w:p>
      <w:pPr>
        <w:tabs>
          <w:tab w:val="left" w:pos="900"/>
        </w:tabs>
        <w:spacing w:line="560" w:lineRule="exact"/>
        <w:ind w:firstLine="480" w:firstLineChars="200"/>
        <w:rPr>
          <w:rFonts w:ascii="仿宋" w:hAnsi="仿宋" w:eastAsia="仿宋" w:cs="宋体"/>
          <w:spacing w:val="-20"/>
          <w:sz w:val="28"/>
          <w:szCs w:val="28"/>
        </w:rPr>
      </w:pPr>
    </w:p>
    <w:p>
      <w:pPr>
        <w:tabs>
          <w:tab w:val="left" w:pos="900"/>
        </w:tabs>
        <w:spacing w:line="560" w:lineRule="exact"/>
        <w:ind w:right="560" w:firstLine="840" w:firstLineChars="300"/>
        <w:rPr>
          <w:rFonts w:ascii="仿宋" w:hAnsi="仿宋" w:eastAsia="仿宋" w:cs="宋体"/>
          <w:bCs/>
          <w:sz w:val="28"/>
          <w:szCs w:val="28"/>
        </w:rPr>
      </w:pPr>
      <w:r>
        <w:rPr>
          <w:rFonts w:hint="eastAsia" w:ascii="仿宋" w:hAnsi="仿宋" w:eastAsia="仿宋" w:cs="宋体"/>
          <w:sz w:val="28"/>
          <w:szCs w:val="28"/>
        </w:rPr>
        <w:t>代表人（签字）：                法定代表人（盖章）：</w:t>
      </w:r>
      <w:r>
        <w:rPr>
          <w:rFonts w:hint="eastAsia" w:ascii="仿宋" w:hAnsi="仿宋" w:eastAsia="仿宋" w:cs="宋体"/>
          <w:bCs/>
          <w:sz w:val="28"/>
          <w:szCs w:val="28"/>
        </w:rPr>
        <w:t xml:space="preserve"> </w:t>
      </w:r>
    </w:p>
    <w:p>
      <w:pPr>
        <w:spacing w:line="480" w:lineRule="exact"/>
        <w:rPr>
          <w:rFonts w:ascii="仿宋" w:hAnsi="仿宋" w:eastAsia="仿宋"/>
          <w:sz w:val="28"/>
          <w:szCs w:val="28"/>
        </w:rPr>
      </w:pPr>
      <w:r>
        <w:rPr>
          <w:rFonts w:hint="eastAsia" w:ascii="仿宋" w:hAnsi="仿宋" w:eastAsia="仿宋"/>
          <w:sz w:val="28"/>
          <w:szCs w:val="28"/>
        </w:rPr>
        <w:t xml:space="preserve">                                  </w:t>
      </w:r>
    </w:p>
    <w:p>
      <w:pPr>
        <w:spacing w:line="480" w:lineRule="exact"/>
        <w:ind w:firstLine="1400" w:firstLineChars="500"/>
        <w:rPr>
          <w:rFonts w:ascii="仿宋" w:hAnsi="仿宋" w:eastAsia="仿宋"/>
          <w:sz w:val="28"/>
          <w:szCs w:val="28"/>
        </w:rPr>
      </w:pPr>
    </w:p>
    <w:p>
      <w:pPr>
        <w:spacing w:line="480" w:lineRule="exact"/>
        <w:ind w:firstLine="1400" w:firstLineChars="500"/>
        <w:rPr>
          <w:rFonts w:ascii="仿宋" w:hAnsi="仿宋" w:eastAsia="仿宋"/>
          <w:sz w:val="28"/>
          <w:szCs w:val="28"/>
        </w:rPr>
      </w:pPr>
    </w:p>
    <w:p>
      <w:pPr>
        <w:spacing w:line="480" w:lineRule="exact"/>
        <w:ind w:firstLine="1400" w:firstLineChars="500"/>
        <w:rPr>
          <w:rFonts w:ascii="仿宋" w:hAnsi="仿宋" w:eastAsia="仿宋"/>
          <w:sz w:val="28"/>
          <w:szCs w:val="28"/>
        </w:rPr>
      </w:pPr>
    </w:p>
    <w:p>
      <w:pPr>
        <w:spacing w:line="480" w:lineRule="exact"/>
        <w:ind w:firstLine="1400" w:firstLineChars="500"/>
        <w:jc w:val="right"/>
        <w:rPr>
          <w:rFonts w:ascii="仿宋" w:hAnsi="仿宋" w:eastAsia="仿宋"/>
          <w:sz w:val="28"/>
          <w:szCs w:val="28"/>
        </w:rPr>
      </w:pPr>
      <w:r>
        <w:rPr>
          <w:rFonts w:hint="eastAsia" w:ascii="仿宋" w:hAnsi="仿宋" w:eastAsia="仿宋"/>
          <w:sz w:val="28"/>
          <w:szCs w:val="28"/>
        </w:rPr>
        <w:t>2021年  月  日</w:t>
      </w:r>
    </w:p>
    <w:p>
      <w:pPr>
        <w:rPr>
          <w:rFonts w:ascii="仿宋" w:hAnsi="仿宋" w:eastAsia="仿宋"/>
          <w:b/>
          <w:sz w:val="34"/>
          <w:szCs w:val="34"/>
        </w:rPr>
      </w:pPr>
    </w:p>
    <w:p>
      <w:pPr>
        <w:spacing w:line="360" w:lineRule="exact"/>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jc w:val="center"/>
        <w:rPr>
          <w:rFonts w:ascii="宋体" w:hAnsi="宋体"/>
          <w:b/>
          <w:sz w:val="36"/>
          <w:szCs w:val="36"/>
        </w:rPr>
      </w:pPr>
      <w:r>
        <w:rPr>
          <w:rFonts w:hint="eastAsia" w:ascii="宋体" w:hAnsi="宋体"/>
          <w:b/>
          <w:sz w:val="36"/>
          <w:szCs w:val="36"/>
        </w:rPr>
        <w:t>四川广元启明星铝业有限责任公司炭素阳极生产线资产</w:t>
      </w:r>
    </w:p>
    <w:p>
      <w:pPr>
        <w:spacing w:line="120" w:lineRule="exact"/>
        <w:jc w:val="center"/>
        <w:rPr>
          <w:rFonts w:ascii="仿宋" w:hAnsi="仿宋" w:eastAsia="仿宋"/>
          <w:b/>
          <w:sz w:val="36"/>
          <w:szCs w:val="36"/>
        </w:rPr>
      </w:pPr>
    </w:p>
    <w:p>
      <w:pPr>
        <w:jc w:val="center"/>
        <w:rPr>
          <w:rFonts w:ascii="宋体" w:hAnsi="宋体"/>
          <w:b/>
          <w:spacing w:val="40"/>
          <w:sz w:val="36"/>
          <w:szCs w:val="36"/>
        </w:rPr>
      </w:pPr>
      <w:r>
        <w:rPr>
          <w:rFonts w:hint="eastAsia" w:ascii="宋体" w:hAnsi="宋体"/>
          <w:b/>
          <w:spacing w:val="40"/>
          <w:sz w:val="36"/>
          <w:szCs w:val="36"/>
        </w:rPr>
        <w:t>网络竞买协议</w:t>
      </w:r>
    </w:p>
    <w:p>
      <w:pPr>
        <w:spacing w:line="240" w:lineRule="exact"/>
        <w:jc w:val="center"/>
        <w:rPr>
          <w:rFonts w:ascii="仿宋" w:hAnsi="仿宋" w:eastAsia="仿宋"/>
          <w:sz w:val="24"/>
        </w:rPr>
      </w:pPr>
    </w:p>
    <w:p>
      <w:pPr>
        <w:spacing w:line="580" w:lineRule="exact"/>
        <w:rPr>
          <w:rFonts w:ascii="仿宋" w:hAnsi="仿宋" w:eastAsia="仿宋"/>
          <w:b/>
          <w:sz w:val="28"/>
          <w:szCs w:val="28"/>
        </w:rPr>
      </w:pPr>
      <w:r>
        <w:rPr>
          <w:rFonts w:hint="eastAsia" w:ascii="仿宋" w:hAnsi="仿宋" w:eastAsia="仿宋"/>
          <w:b/>
          <w:sz w:val="28"/>
          <w:szCs w:val="28"/>
        </w:rPr>
        <w:t xml:space="preserve">甲方（竞买人）： </w:t>
      </w:r>
    </w:p>
    <w:p>
      <w:pPr>
        <w:spacing w:line="580" w:lineRule="exact"/>
        <w:rPr>
          <w:rFonts w:ascii="仿宋" w:hAnsi="仿宋" w:eastAsia="仿宋"/>
          <w:sz w:val="28"/>
          <w:szCs w:val="28"/>
        </w:rPr>
      </w:pPr>
      <w:r>
        <w:rPr>
          <w:rFonts w:hint="eastAsia" w:ascii="仿宋" w:hAnsi="仿宋" w:eastAsia="仿宋"/>
          <w:b/>
          <w:sz w:val="28"/>
          <w:szCs w:val="28"/>
        </w:rPr>
        <w:t>乙方（拍卖人）：广元市拍卖有限公司</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根据《中华人民共和国拍卖法》《中华人民共和国</w:t>
      </w:r>
      <w:r>
        <w:rPr>
          <w:rFonts w:hint="eastAsia" w:ascii="仿宋" w:hAnsi="仿宋" w:eastAsia="仿宋" w:cs="新宋体"/>
          <w:sz w:val="28"/>
          <w:szCs w:val="28"/>
        </w:rPr>
        <w:t>民法典</w:t>
      </w:r>
      <w:r>
        <w:rPr>
          <w:rFonts w:hint="eastAsia" w:ascii="仿宋" w:hAnsi="仿宋" w:eastAsia="仿宋"/>
          <w:sz w:val="28"/>
          <w:szCs w:val="28"/>
        </w:rPr>
        <w:t>》的相关规定，遵循“公开、公平、公正、诚实信用”的原则。甲方自愿参加乙方于2021年4月7日10:00举行的拍卖会，并通过网络拍卖的方式参加竞买，经双方协商一致后达成以下协议，双方信守:</w:t>
      </w:r>
    </w:p>
    <w:p>
      <w:pPr>
        <w:spacing w:line="580" w:lineRule="exact"/>
        <w:ind w:firstLine="647" w:firstLineChars="230"/>
        <w:rPr>
          <w:rFonts w:ascii="仿宋" w:hAnsi="仿宋" w:eastAsia="仿宋"/>
          <w:b/>
          <w:sz w:val="28"/>
          <w:szCs w:val="28"/>
        </w:rPr>
      </w:pPr>
      <w:r>
        <w:rPr>
          <w:rFonts w:hint="eastAsia" w:ascii="仿宋" w:hAnsi="仿宋" w:eastAsia="仿宋"/>
          <w:b/>
          <w:sz w:val="28"/>
          <w:szCs w:val="28"/>
        </w:rPr>
        <w:t>一、法律责任</w:t>
      </w:r>
    </w:p>
    <w:p>
      <w:pPr>
        <w:spacing w:line="580" w:lineRule="exact"/>
        <w:ind w:firstLine="600" w:firstLineChars="200"/>
        <w:rPr>
          <w:rFonts w:ascii="仿宋" w:hAnsi="仿宋" w:eastAsia="仿宋"/>
          <w:sz w:val="30"/>
          <w:szCs w:val="30"/>
        </w:rPr>
      </w:pPr>
      <w:r>
        <w:rPr>
          <w:rFonts w:hint="eastAsia" w:ascii="仿宋" w:hAnsi="仿宋" w:eastAsia="仿宋"/>
          <w:spacing w:val="10"/>
          <w:sz w:val="28"/>
          <w:szCs w:val="28"/>
        </w:rPr>
        <w:t>1、甲方具备民事权利能力和民事行为能力，且具备法律、法规规定的竞买条件或资格，具有履行本协议相应实力</w:t>
      </w:r>
      <w:r>
        <w:rPr>
          <w:rFonts w:hint="eastAsia" w:ascii="仿宋" w:hAnsi="仿宋" w:eastAsia="仿宋"/>
          <w:sz w:val="28"/>
          <w:szCs w:val="28"/>
        </w:rPr>
        <w:t>。</w:t>
      </w:r>
    </w:p>
    <w:p>
      <w:pPr>
        <w:spacing w:line="580" w:lineRule="exact"/>
        <w:rPr>
          <w:rFonts w:ascii="仿宋" w:hAnsi="仿宋" w:eastAsia="仿宋"/>
          <w:b/>
          <w:spacing w:val="10"/>
          <w:sz w:val="28"/>
          <w:szCs w:val="28"/>
        </w:rPr>
      </w:pPr>
      <w:r>
        <w:rPr>
          <w:rFonts w:hint="eastAsia" w:ascii="仿宋" w:hAnsi="仿宋" w:eastAsia="仿宋"/>
          <w:spacing w:val="10"/>
          <w:sz w:val="28"/>
          <w:szCs w:val="28"/>
        </w:rPr>
        <w:t xml:space="preserve">    2、乙方对本次拍卖标的进行了公告，对标的进行了充分展示，并向甲方提供了标的相关资料及证明文件等。同时，甲方已充分了解所要竞买标的的情况，对自己的竞买行为自愿承担法律责任。</w:t>
      </w:r>
      <w:r>
        <w:rPr>
          <w:rFonts w:hint="eastAsia" w:ascii="仿宋" w:hAnsi="仿宋" w:eastAsia="仿宋"/>
          <w:sz w:val="28"/>
          <w:szCs w:val="28"/>
        </w:rPr>
        <w:t>签署本《竞买协议》就表明甲方已对拍卖标的的现状进行了查验，且对乙方就拍卖标的现状拍卖无异议。</w:t>
      </w:r>
    </w:p>
    <w:p>
      <w:pPr>
        <w:spacing w:line="580" w:lineRule="exact"/>
        <w:ind w:firstLine="562" w:firstLineChars="200"/>
        <w:rPr>
          <w:rFonts w:ascii="仿宋" w:hAnsi="仿宋" w:eastAsia="仿宋"/>
          <w:b/>
          <w:sz w:val="28"/>
          <w:szCs w:val="28"/>
        </w:rPr>
      </w:pPr>
      <w:r>
        <w:rPr>
          <w:rFonts w:hint="eastAsia" w:ascii="仿宋" w:hAnsi="仿宋" w:eastAsia="仿宋"/>
          <w:b/>
          <w:sz w:val="28"/>
          <w:szCs w:val="28"/>
        </w:rPr>
        <w:t>二、拍卖时间、拍卖标的、拍卖方式</w:t>
      </w:r>
    </w:p>
    <w:p>
      <w:pPr>
        <w:spacing w:line="580" w:lineRule="exact"/>
        <w:ind w:firstLine="560" w:firstLineChars="200"/>
        <w:rPr>
          <w:rFonts w:ascii="仿宋" w:hAnsi="仿宋" w:eastAsia="仿宋" w:cs="仿宋"/>
          <w:bCs/>
          <w:sz w:val="28"/>
          <w:szCs w:val="28"/>
        </w:rPr>
      </w:pPr>
      <w:r>
        <w:rPr>
          <w:rFonts w:hint="eastAsia" w:ascii="仿宋" w:hAnsi="仿宋" w:eastAsia="仿宋" w:cs="仿宋"/>
          <w:bCs/>
          <w:sz w:val="28"/>
          <w:szCs w:val="28"/>
        </w:rPr>
        <w:t>乙方于2021年4月7日10:00在乙方拍卖厅和</w:t>
      </w:r>
      <w:r>
        <w:rPr>
          <w:rFonts w:hint="eastAsia" w:ascii="仿宋" w:hAnsi="仿宋" w:eastAsia="仿宋" w:cs="仿宋"/>
          <w:bCs/>
          <w:kern w:val="0"/>
          <w:sz w:val="28"/>
          <w:szCs w:val="28"/>
        </w:rPr>
        <w:t>中国拍卖行业协会网络平台（http://paimai.caa123.org.cn）同步拍卖</w:t>
      </w:r>
      <w:r>
        <w:rPr>
          <w:rFonts w:hint="eastAsia" w:ascii="仿宋" w:hAnsi="仿宋" w:eastAsia="仿宋" w:cs="仿宋"/>
          <w:bCs/>
          <w:sz w:val="28"/>
          <w:szCs w:val="28"/>
        </w:rPr>
        <w:t>位于四川省广元经济技术开发区袁家坝工业园区下列资产（详见拍卖资产清单）：</w:t>
      </w:r>
    </w:p>
    <w:p>
      <w:pPr>
        <w:spacing w:line="580" w:lineRule="exact"/>
        <w:ind w:firstLine="560" w:firstLineChars="200"/>
        <w:rPr>
          <w:rFonts w:ascii="仿宋" w:hAnsi="仿宋" w:eastAsia="仿宋" w:cs="仿宋"/>
          <w:bCs/>
          <w:spacing w:val="-8"/>
          <w:sz w:val="28"/>
          <w:szCs w:val="28"/>
        </w:rPr>
      </w:pPr>
      <w:r>
        <w:rPr>
          <w:rFonts w:hint="eastAsia" w:ascii="仿宋" w:hAnsi="仿宋" w:eastAsia="仿宋" w:cs="仿宋"/>
          <w:bCs/>
          <w:sz w:val="28"/>
          <w:szCs w:val="28"/>
        </w:rPr>
        <w:t>1、</w:t>
      </w:r>
      <w:r>
        <w:rPr>
          <w:rFonts w:hint="eastAsia" w:ascii="仿宋" w:hAnsi="仿宋" w:eastAsia="仿宋" w:cs="仿宋"/>
          <w:bCs/>
          <w:spacing w:val="-8"/>
          <w:sz w:val="28"/>
          <w:szCs w:val="28"/>
        </w:rPr>
        <w:t>工业用途土地使用权面积约250.86亩，出让期限至2053年10月16日止；</w:t>
      </w:r>
    </w:p>
    <w:p>
      <w:pPr>
        <w:spacing w:line="580" w:lineRule="exact"/>
        <w:ind w:firstLine="560" w:firstLineChars="200"/>
        <w:rPr>
          <w:rFonts w:ascii="仿宋" w:hAnsi="仿宋" w:eastAsia="仿宋" w:cs="仿宋"/>
          <w:bCs/>
          <w:sz w:val="28"/>
          <w:szCs w:val="28"/>
        </w:rPr>
      </w:pPr>
      <w:r>
        <w:rPr>
          <w:rFonts w:hint="eastAsia" w:ascii="仿宋" w:hAnsi="仿宋" w:eastAsia="仿宋" w:cs="仿宋"/>
          <w:bCs/>
          <w:sz w:val="28"/>
          <w:szCs w:val="28"/>
        </w:rPr>
        <w:t>2、房屋建筑物：房屋60幢，建筑面积约56335㎡；</w:t>
      </w:r>
    </w:p>
    <w:p>
      <w:pPr>
        <w:spacing w:line="580" w:lineRule="exact"/>
        <w:ind w:firstLine="560" w:firstLineChars="200"/>
        <w:rPr>
          <w:rFonts w:ascii="仿宋" w:hAnsi="仿宋" w:eastAsia="仿宋" w:cs="仿宋"/>
          <w:bCs/>
          <w:sz w:val="28"/>
          <w:szCs w:val="28"/>
        </w:rPr>
      </w:pPr>
      <w:r>
        <w:rPr>
          <w:rFonts w:hint="eastAsia" w:ascii="仿宋" w:hAnsi="仿宋" w:eastAsia="仿宋" w:cs="仿宋"/>
          <w:bCs/>
          <w:sz w:val="28"/>
          <w:szCs w:val="28"/>
        </w:rPr>
        <w:t>3、构筑物(含3个煅后料仓、３个筒仓及两个烟囱)；</w:t>
      </w:r>
    </w:p>
    <w:p>
      <w:pPr>
        <w:spacing w:line="580" w:lineRule="exact"/>
        <w:ind w:firstLine="560" w:firstLineChars="200"/>
        <w:rPr>
          <w:rFonts w:ascii="仿宋" w:hAnsi="仿宋" w:eastAsia="仿宋" w:cs="仿宋"/>
          <w:bCs/>
          <w:sz w:val="28"/>
          <w:szCs w:val="28"/>
        </w:rPr>
      </w:pPr>
      <w:r>
        <w:rPr>
          <w:rFonts w:hint="eastAsia" w:ascii="仿宋" w:hAnsi="仿宋" w:eastAsia="仿宋" w:cs="仿宋"/>
          <w:bCs/>
          <w:sz w:val="28"/>
          <w:szCs w:val="28"/>
        </w:rPr>
        <w:t>4、机器设备（含炭素阳极生产线、余热电厂）。</w:t>
      </w:r>
    </w:p>
    <w:p>
      <w:pPr>
        <w:shd w:val="clear" w:color="auto" w:fill="FFFFFF"/>
        <w:spacing w:line="580" w:lineRule="exact"/>
        <w:ind w:firstLine="480"/>
        <w:rPr>
          <w:rFonts w:ascii="仿宋" w:hAnsi="仿宋" w:eastAsia="仿宋" w:cs="宋体"/>
          <w:kern w:val="0"/>
          <w:sz w:val="28"/>
          <w:szCs w:val="28"/>
        </w:rPr>
      </w:pPr>
      <w:r>
        <w:rPr>
          <w:rFonts w:hint="eastAsia" w:ascii="仿宋" w:hAnsi="仿宋" w:eastAsia="仿宋" w:cs="宋体"/>
          <w:kern w:val="0"/>
          <w:sz w:val="28"/>
          <w:szCs w:val="28"/>
        </w:rPr>
        <w:t>上述标的现状整体拍卖。其名称、型号、数量、质量、状态等以交付时现场实物为准;土地使用权及建筑物面积以产权管理部门最终确权为准。</w:t>
      </w:r>
    </w:p>
    <w:p>
      <w:pPr>
        <w:spacing w:line="580" w:lineRule="exact"/>
        <w:ind w:firstLine="551" w:firstLineChars="196"/>
        <w:rPr>
          <w:rFonts w:ascii="仿宋" w:hAnsi="仿宋" w:eastAsia="仿宋" w:cs="仿宋"/>
          <w:b/>
          <w:kern w:val="0"/>
          <w:sz w:val="28"/>
          <w:szCs w:val="28"/>
        </w:rPr>
      </w:pPr>
      <w:r>
        <w:rPr>
          <w:rFonts w:hint="eastAsia" w:ascii="仿宋" w:hAnsi="仿宋" w:eastAsia="仿宋" w:cs="仿宋"/>
          <w:b/>
          <w:kern w:val="0"/>
          <w:sz w:val="28"/>
          <w:szCs w:val="28"/>
        </w:rPr>
        <w:t>三、标的展示地点</w:t>
      </w:r>
    </w:p>
    <w:p>
      <w:pPr>
        <w:pStyle w:val="7"/>
        <w:spacing w:before="0" w:beforeAutospacing="0" w:after="0" w:afterAutospacing="0" w:line="580" w:lineRule="exact"/>
        <w:ind w:firstLine="560" w:firstLineChars="200"/>
        <w:jc w:val="both"/>
        <w:rPr>
          <w:rFonts w:ascii="仿宋" w:hAnsi="仿宋" w:eastAsia="仿宋" w:cs="Arial"/>
          <w:sz w:val="28"/>
          <w:szCs w:val="28"/>
        </w:rPr>
      </w:pPr>
      <w:r>
        <w:rPr>
          <w:rFonts w:hint="eastAsia" w:ascii="仿宋" w:hAnsi="仿宋" w:eastAsia="仿宋"/>
          <w:bCs/>
          <w:sz w:val="28"/>
          <w:szCs w:val="28"/>
        </w:rPr>
        <w:t>乙方于2021年3月3日至</w:t>
      </w:r>
      <w:r>
        <w:rPr>
          <w:rFonts w:hint="eastAsia" w:ascii="仿宋" w:hAnsi="仿宋" w:eastAsia="仿宋"/>
          <w:sz w:val="28"/>
          <w:szCs w:val="28"/>
        </w:rPr>
        <w:t>2021年4月2日止在原址就地展示拍卖标的</w:t>
      </w:r>
      <w:r>
        <w:rPr>
          <w:rFonts w:hint="eastAsia" w:ascii="仿宋" w:hAnsi="仿宋" w:eastAsia="仿宋"/>
          <w:bCs/>
          <w:sz w:val="28"/>
          <w:szCs w:val="28"/>
        </w:rPr>
        <w:t>。</w:t>
      </w:r>
      <w:r>
        <w:rPr>
          <w:rFonts w:hint="eastAsia" w:ascii="仿宋" w:hAnsi="仿宋" w:eastAsia="仿宋" w:cs="Arial"/>
          <w:sz w:val="28"/>
          <w:szCs w:val="28"/>
        </w:rPr>
        <w:t>竞买人应实地查验、了解标的现状及瑕疵。</w:t>
      </w:r>
    </w:p>
    <w:p>
      <w:pPr>
        <w:spacing w:line="580" w:lineRule="exact"/>
        <w:ind w:firstLine="551" w:firstLineChars="196"/>
        <w:rPr>
          <w:rFonts w:ascii="仿宋" w:hAnsi="仿宋" w:eastAsia="仿宋" w:cs="仿宋"/>
          <w:b/>
          <w:kern w:val="0"/>
          <w:sz w:val="28"/>
          <w:szCs w:val="28"/>
        </w:rPr>
      </w:pPr>
      <w:r>
        <w:rPr>
          <w:rFonts w:hint="eastAsia" w:ascii="仿宋" w:hAnsi="仿宋" w:eastAsia="仿宋" w:cs="仿宋"/>
          <w:b/>
          <w:kern w:val="0"/>
          <w:sz w:val="28"/>
          <w:szCs w:val="28"/>
        </w:rPr>
        <w:t>四、网络拍卖竞买程序、须知及规则</w:t>
      </w:r>
    </w:p>
    <w:p>
      <w:pPr>
        <w:spacing w:line="580" w:lineRule="exact"/>
        <w:rPr>
          <w:rFonts w:ascii="仿宋" w:hAnsi="仿宋" w:eastAsia="仿宋"/>
          <w:sz w:val="28"/>
          <w:szCs w:val="28"/>
        </w:rPr>
      </w:pPr>
      <w:r>
        <w:rPr>
          <w:rFonts w:hint="eastAsia" w:ascii="仿宋" w:hAnsi="仿宋" w:eastAsia="仿宋"/>
          <w:sz w:val="28"/>
          <w:szCs w:val="28"/>
        </w:rPr>
        <w:t xml:space="preserve">   （一）使用网络竞价的竞买人，是已经乙方确认获得网络竞价资格的竞买人。竞买资格的获得包括：</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1、已交纳竞买保证金；</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2、已进行网络竞价竞买报名登记；</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3、已签订本《竞买协议》；</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4、已获得网络竞价用户资格。</w:t>
      </w:r>
    </w:p>
    <w:p>
      <w:pPr>
        <w:spacing w:line="560" w:lineRule="exact"/>
        <w:rPr>
          <w:rFonts w:ascii="仿宋" w:hAnsi="仿宋" w:eastAsia="仿宋"/>
          <w:sz w:val="28"/>
          <w:szCs w:val="28"/>
        </w:rPr>
      </w:pPr>
      <w:r>
        <w:rPr>
          <w:rFonts w:hint="eastAsia" w:ascii="仿宋" w:hAnsi="仿宋" w:eastAsia="仿宋"/>
          <w:sz w:val="28"/>
          <w:szCs w:val="28"/>
        </w:rPr>
        <w:t>（二）竞买人在拍卖开始前，须登陆中国拍卖行业协会网站（</w:t>
      </w:r>
      <w:r>
        <w:rPr>
          <w:rFonts w:hint="eastAsia" w:ascii="仿宋" w:hAnsi="仿宋" w:eastAsia="仿宋" w:cs="仿宋"/>
          <w:kern w:val="0"/>
          <w:sz w:val="28"/>
          <w:szCs w:val="28"/>
        </w:rPr>
        <w:t>http://paimai.caa123.org.cn/</w:t>
      </w:r>
      <w:r>
        <w:rPr>
          <w:rFonts w:hint="eastAsia" w:ascii="仿宋" w:hAnsi="仿宋" w:eastAsia="仿宋"/>
          <w:sz w:val="28"/>
          <w:szCs w:val="28"/>
        </w:rPr>
        <w:t>），输入已注册账号和密码，然后找到本次拍卖会拍卖大厅点击进入，随即报名；系统显示报名成功后等待后台管理员确认资格，经资格确认后即可在规定时间内参与竞价。</w:t>
      </w:r>
    </w:p>
    <w:p>
      <w:pPr>
        <w:spacing w:line="560" w:lineRule="exact"/>
        <w:rPr>
          <w:rFonts w:ascii="仿宋" w:hAnsi="仿宋" w:eastAsia="仿宋"/>
          <w:sz w:val="28"/>
          <w:szCs w:val="28"/>
        </w:rPr>
      </w:pPr>
      <w:r>
        <w:rPr>
          <w:rFonts w:hint="eastAsia" w:ascii="仿宋" w:hAnsi="仿宋" w:eastAsia="仿宋"/>
          <w:sz w:val="28"/>
          <w:szCs w:val="28"/>
        </w:rPr>
        <w:t xml:space="preserve">   （三）竞买人的竞价以电脑显示的先后顺序确定，在网络竞价时间开始后方可竞价。</w:t>
      </w:r>
      <w:r>
        <w:rPr>
          <w:rFonts w:hint="eastAsia" w:ascii="仿宋" w:hAnsi="仿宋" w:eastAsia="仿宋"/>
          <w:spacing w:val="10"/>
          <w:sz w:val="28"/>
          <w:szCs w:val="28"/>
        </w:rPr>
        <w:t>当竞买人的竞价达到或超过保留价，再无新的更高报价时，</w:t>
      </w:r>
      <w:r>
        <w:rPr>
          <w:rFonts w:hint="eastAsia" w:ascii="仿宋" w:hAnsi="仿宋" w:eastAsia="仿宋"/>
          <w:sz w:val="28"/>
          <w:szCs w:val="28"/>
        </w:rPr>
        <w:t>网络竞价结束，随即进入报价倒计时，若有新的出价，电子竞价系统自动延续，以此类推,直至无新的出价出现，电子竞价系统自动关闭，此时出价最高的竞买人即成为买受人。</w:t>
      </w:r>
    </w:p>
    <w:p>
      <w:pPr>
        <w:spacing w:line="580" w:lineRule="exact"/>
        <w:rPr>
          <w:rFonts w:ascii="仿宋" w:hAnsi="仿宋" w:eastAsia="仿宋"/>
          <w:sz w:val="28"/>
          <w:szCs w:val="28"/>
        </w:rPr>
      </w:pPr>
      <w:r>
        <w:rPr>
          <w:rFonts w:hint="eastAsia" w:ascii="仿宋" w:hAnsi="仿宋" w:eastAsia="仿宋"/>
          <w:sz w:val="28"/>
          <w:szCs w:val="28"/>
        </w:rPr>
        <w:t xml:space="preserve">   （四）网络竞价采取增价方式，竞买人竞价时，可自行输入价格或点击 “</w:t>
      </w:r>
      <w:r>
        <w:rPr>
          <w:rFonts w:hint="eastAsia" w:ascii="仿宋" w:hAnsi="仿宋" w:eastAsia="仿宋"/>
          <w:b/>
          <w:sz w:val="28"/>
          <w:szCs w:val="28"/>
        </w:rPr>
        <w:t>+</w:t>
      </w:r>
      <w:r>
        <w:rPr>
          <w:rFonts w:hint="eastAsia" w:ascii="仿宋" w:hAnsi="仿宋" w:eastAsia="仿宋"/>
          <w:sz w:val="28"/>
          <w:szCs w:val="28"/>
        </w:rPr>
        <w:t>”号进行加价。</w:t>
      </w:r>
    </w:p>
    <w:p>
      <w:pPr>
        <w:spacing w:line="580" w:lineRule="exact"/>
        <w:rPr>
          <w:rFonts w:ascii="仿宋" w:hAnsi="仿宋" w:eastAsia="仿宋"/>
          <w:sz w:val="28"/>
          <w:szCs w:val="28"/>
        </w:rPr>
      </w:pPr>
      <w:r>
        <w:rPr>
          <w:rFonts w:hint="eastAsia" w:ascii="仿宋" w:hAnsi="仿宋" w:eastAsia="仿宋"/>
          <w:sz w:val="28"/>
          <w:szCs w:val="28"/>
        </w:rPr>
        <w:t xml:space="preserve">   （五）竞买人应对登陆账户及密码的安全负责，并对使用竞拍号码进行的所有竞价活动负责。在网络竞价过程中，所有操作均视为竞买人本人操作，由此产生的一切后果，由竞买人自行承担。</w:t>
      </w:r>
    </w:p>
    <w:p>
      <w:pPr>
        <w:spacing w:line="580" w:lineRule="exact"/>
        <w:rPr>
          <w:rFonts w:ascii="仿宋" w:hAnsi="仿宋" w:eastAsia="仿宋"/>
          <w:sz w:val="28"/>
          <w:szCs w:val="28"/>
        </w:rPr>
      </w:pPr>
      <w:r>
        <w:rPr>
          <w:rFonts w:hint="eastAsia" w:ascii="仿宋" w:hAnsi="仿宋" w:eastAsia="仿宋"/>
          <w:sz w:val="28"/>
          <w:szCs w:val="28"/>
        </w:rPr>
        <w:t xml:space="preserve">   （六）当出现以下情形，乙方和中国拍卖行业协会网站不承担任何责任（包括但不限于以下情形）：</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spacing w:val="10"/>
          <w:sz w:val="28"/>
          <w:szCs w:val="28"/>
        </w:rPr>
        <w:t>如竞买人迟延登陆网站或不能登陆网站参与竞价，或竞价过程中途离开而错过竞买时机，其责任自负；</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2、竞买人未在报价时限内报价的；</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3、竞买人因自身原因导致其注册账号信息泄露而造成的一切后果；</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4、竞买人因遗忘账户、密码、自身终端设备或网络异常导致无法正常报价的；</w:t>
      </w:r>
    </w:p>
    <w:p>
      <w:pPr>
        <w:spacing w:line="580" w:lineRule="exact"/>
        <w:ind w:firstLine="560" w:firstLineChars="200"/>
        <w:rPr>
          <w:rFonts w:ascii="仿宋" w:hAnsi="仿宋" w:eastAsia="仿宋" w:cs="仿宋"/>
          <w:b/>
          <w:kern w:val="0"/>
          <w:sz w:val="28"/>
          <w:szCs w:val="28"/>
        </w:rPr>
      </w:pPr>
      <w:r>
        <w:rPr>
          <w:rFonts w:hint="eastAsia" w:ascii="仿宋" w:hAnsi="仿宋" w:eastAsia="仿宋"/>
          <w:sz w:val="28"/>
          <w:szCs w:val="28"/>
        </w:rPr>
        <w:t>5、因不可抗力、停电、网络中断、软硬件故障、非法入侵、恶意攻击导致系统故障无法继续报价的，或者司法部门、政府监管部门紧急要求停止报价等原因导致报价中断的等其他不可抗力因素。</w:t>
      </w:r>
    </w:p>
    <w:p>
      <w:pPr>
        <w:spacing w:line="580" w:lineRule="exact"/>
        <w:ind w:firstLine="562" w:firstLineChars="200"/>
        <w:rPr>
          <w:rFonts w:ascii="仿宋" w:hAnsi="仿宋" w:eastAsia="仿宋"/>
          <w:sz w:val="28"/>
          <w:szCs w:val="28"/>
        </w:rPr>
      </w:pPr>
      <w:r>
        <w:rPr>
          <w:rFonts w:hint="eastAsia" w:ascii="仿宋" w:hAnsi="仿宋" w:eastAsia="仿宋"/>
          <w:b/>
          <w:sz w:val="28"/>
          <w:szCs w:val="28"/>
        </w:rPr>
        <w:t>五、违约责任</w:t>
      </w:r>
    </w:p>
    <w:p>
      <w:pPr>
        <w:spacing w:line="580" w:lineRule="exact"/>
        <w:ind w:firstLine="480"/>
        <w:rPr>
          <w:rFonts w:ascii="仿宋" w:hAnsi="仿宋" w:eastAsia="仿宋"/>
          <w:sz w:val="28"/>
          <w:szCs w:val="28"/>
        </w:rPr>
      </w:pPr>
      <w:r>
        <w:rPr>
          <w:rFonts w:hint="eastAsia" w:ascii="仿宋" w:hAnsi="仿宋" w:eastAsia="仿宋"/>
          <w:sz w:val="28"/>
          <w:szCs w:val="28"/>
        </w:rPr>
        <w:t>甲方竞得标的后若拒绝在竞价记录或《拍卖成交确认书》上签字或未在约定期限内交清拍卖价款和拍卖佣金视为违约，不但无权取得拍卖标的，还将承担以下违约责任：</w:t>
      </w:r>
    </w:p>
    <w:p>
      <w:pPr>
        <w:spacing w:line="600" w:lineRule="exact"/>
        <w:rPr>
          <w:rFonts w:ascii="仿宋" w:hAnsi="仿宋" w:eastAsia="仿宋"/>
          <w:sz w:val="28"/>
          <w:szCs w:val="28"/>
        </w:rPr>
      </w:pPr>
      <w:r>
        <w:rPr>
          <w:rFonts w:hint="eastAsia" w:ascii="仿宋" w:hAnsi="仿宋" w:eastAsia="仿宋"/>
          <w:sz w:val="28"/>
          <w:szCs w:val="28"/>
        </w:rPr>
        <w:t xml:space="preserve">      1、竞买保证金不予退还；</w:t>
      </w:r>
    </w:p>
    <w:p>
      <w:pPr>
        <w:spacing w:line="600" w:lineRule="exact"/>
        <w:rPr>
          <w:rFonts w:ascii="仿宋" w:hAnsi="仿宋" w:eastAsia="仿宋"/>
          <w:sz w:val="28"/>
          <w:szCs w:val="28"/>
        </w:rPr>
      </w:pPr>
      <w:r>
        <w:rPr>
          <w:rFonts w:hint="eastAsia" w:ascii="仿宋" w:hAnsi="仿宋" w:eastAsia="仿宋"/>
          <w:sz w:val="28"/>
          <w:szCs w:val="28"/>
        </w:rPr>
        <w:t xml:space="preserve">     2、</w:t>
      </w:r>
      <w:r>
        <w:rPr>
          <w:rFonts w:hint="eastAsia" w:ascii="仿宋" w:hAnsi="仿宋" w:eastAsia="仿宋" w:cs="宋体"/>
          <w:kern w:val="0"/>
          <w:sz w:val="28"/>
          <w:szCs w:val="28"/>
        </w:rPr>
        <w:t>拍卖成交后买受人悔拍的，其交纳的竞买保证金不予退还，在扣除拍卖佣金后，归属于委托人用于清偿债务</w:t>
      </w:r>
      <w:r>
        <w:rPr>
          <w:rFonts w:hint="eastAsia" w:ascii="仿宋" w:hAnsi="仿宋" w:eastAsia="仿宋"/>
          <w:sz w:val="28"/>
          <w:szCs w:val="28"/>
        </w:rPr>
        <w:t>；</w:t>
      </w:r>
    </w:p>
    <w:p>
      <w:pPr>
        <w:spacing w:line="600" w:lineRule="exact"/>
        <w:ind w:firstLine="700" w:firstLineChars="250"/>
        <w:rPr>
          <w:rFonts w:ascii="仿宋" w:hAnsi="仿宋" w:eastAsia="仿宋"/>
          <w:sz w:val="28"/>
          <w:szCs w:val="28"/>
        </w:rPr>
      </w:pPr>
      <w:r>
        <w:rPr>
          <w:rFonts w:hint="eastAsia" w:ascii="仿宋" w:hAnsi="仿宋" w:eastAsia="仿宋"/>
          <w:sz w:val="28"/>
          <w:szCs w:val="28"/>
        </w:rPr>
        <w:t>3、法律、法规规定的其他责任</w:t>
      </w:r>
      <w:r>
        <w:rPr>
          <w:rFonts w:hint="eastAsia" w:ascii="仿宋" w:hAnsi="仿宋" w:eastAsia="仿宋" w:cs="宋体"/>
          <w:kern w:val="0"/>
          <w:sz w:val="28"/>
          <w:szCs w:val="28"/>
        </w:rPr>
        <w:t>。</w:t>
      </w:r>
    </w:p>
    <w:p>
      <w:pPr>
        <w:spacing w:line="580" w:lineRule="exact"/>
        <w:rPr>
          <w:rFonts w:ascii="仿宋" w:hAnsi="仿宋" w:eastAsia="仿宋"/>
          <w:sz w:val="28"/>
          <w:szCs w:val="28"/>
        </w:rPr>
      </w:pPr>
      <w:r>
        <w:rPr>
          <w:rFonts w:hint="eastAsia" w:ascii="仿宋" w:hAnsi="仿宋" w:eastAsia="仿宋"/>
          <w:b/>
          <w:sz w:val="28"/>
          <w:szCs w:val="28"/>
        </w:rPr>
        <w:t>六、竞买保证金</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1、甲方报名时向乙方交纳竞买保证金人民2000万元；</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2、如未竞得或流标，乙方在</w:t>
      </w:r>
      <w:r>
        <w:rPr>
          <w:rFonts w:hint="eastAsia" w:ascii="仿宋" w:hAnsi="仿宋" w:eastAsia="仿宋"/>
          <w:sz w:val="28"/>
          <w:szCs w:val="28"/>
          <w:u w:val="single"/>
        </w:rPr>
        <w:t>3</w:t>
      </w:r>
      <w:r>
        <w:rPr>
          <w:rFonts w:hint="eastAsia" w:ascii="仿宋" w:hAnsi="仿宋" w:eastAsia="仿宋"/>
          <w:sz w:val="28"/>
          <w:szCs w:val="28"/>
        </w:rPr>
        <w:t>个工作日内退还保证金（不计息）；</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3、若甲方成为买受人，所交纳的竞买保证在扣除应向拍卖人支付的拍卖佣金后，余下部分转作履约定金。</w:t>
      </w:r>
    </w:p>
    <w:p>
      <w:pPr>
        <w:spacing w:line="580" w:lineRule="exact"/>
        <w:ind w:firstLine="562" w:firstLineChars="200"/>
        <w:rPr>
          <w:rFonts w:ascii="仿宋" w:hAnsi="仿宋" w:eastAsia="仿宋"/>
          <w:b/>
          <w:sz w:val="28"/>
          <w:szCs w:val="28"/>
        </w:rPr>
      </w:pPr>
      <w:r>
        <w:rPr>
          <w:rFonts w:hint="eastAsia" w:ascii="仿宋" w:hAnsi="仿宋" w:eastAsia="仿宋"/>
          <w:b/>
          <w:sz w:val="28"/>
          <w:szCs w:val="28"/>
        </w:rPr>
        <w:t>七、拍卖佣金和价款的交付</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1、拍卖人按最高人民法院法释［2004］16号规定的标准下浮</w:t>
      </w:r>
      <w:r>
        <w:rPr>
          <w:rFonts w:hint="eastAsia" w:ascii="仿宋" w:hAnsi="仿宋" w:eastAsia="仿宋"/>
          <w:sz w:val="28"/>
          <w:szCs w:val="28"/>
          <w:u w:val="single"/>
        </w:rPr>
        <w:t xml:space="preserve"> 50 </w:t>
      </w:r>
      <w:r>
        <w:rPr>
          <w:rFonts w:hint="eastAsia" w:ascii="仿宋" w:hAnsi="仿宋" w:eastAsia="仿宋"/>
          <w:sz w:val="28"/>
          <w:szCs w:val="28"/>
        </w:rPr>
        <w:t>%向买受人收取拍卖佣金，从买受人交纳的竞买保证金中直接扣除。</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2、买受人须在拍卖成交之日起</w:t>
      </w:r>
      <w:r>
        <w:rPr>
          <w:rFonts w:hint="eastAsia" w:ascii="仿宋" w:hAnsi="仿宋" w:eastAsia="仿宋"/>
          <w:sz w:val="28"/>
          <w:szCs w:val="28"/>
          <w:u w:val="single"/>
        </w:rPr>
        <w:t>20个工作日内付清拍卖总价款的50%，剩余50%价款在60日内付清。</w:t>
      </w:r>
    </w:p>
    <w:p>
      <w:pPr>
        <w:spacing w:line="580" w:lineRule="exact"/>
        <w:ind w:firstLine="562" w:firstLineChars="200"/>
        <w:rPr>
          <w:rFonts w:ascii="仿宋" w:hAnsi="仿宋" w:eastAsia="仿宋"/>
          <w:sz w:val="28"/>
          <w:szCs w:val="28"/>
        </w:rPr>
      </w:pPr>
      <w:r>
        <w:rPr>
          <w:rFonts w:hint="eastAsia" w:ascii="仿宋" w:hAnsi="仿宋" w:eastAsia="仿宋"/>
          <w:b/>
          <w:sz w:val="28"/>
          <w:szCs w:val="28"/>
        </w:rPr>
        <w:t>八、拍卖标的交付或转移的时间、方式</w:t>
      </w:r>
    </w:p>
    <w:p>
      <w:pPr>
        <w:spacing w:line="580" w:lineRule="exact"/>
        <w:ind w:firstLine="560" w:firstLineChars="200"/>
        <w:jc w:val="left"/>
        <w:rPr>
          <w:rFonts w:ascii="仿宋" w:hAnsi="仿宋" w:eastAsia="仿宋"/>
          <w:sz w:val="28"/>
          <w:szCs w:val="28"/>
        </w:rPr>
      </w:pPr>
      <w:r>
        <w:rPr>
          <w:rFonts w:hint="eastAsia" w:ascii="仿宋" w:hAnsi="仿宋" w:eastAsia="仿宋"/>
          <w:sz w:val="28"/>
          <w:szCs w:val="28"/>
        </w:rPr>
        <w:t>买受人在拍卖成交价款付清之日起</w:t>
      </w:r>
      <w:r>
        <w:rPr>
          <w:rFonts w:hint="eastAsia" w:ascii="仿宋" w:hAnsi="仿宋" w:eastAsia="仿宋"/>
          <w:sz w:val="28"/>
          <w:szCs w:val="28"/>
          <w:u w:val="single"/>
        </w:rPr>
        <w:t xml:space="preserve"> 10 </w:t>
      </w:r>
      <w:r>
        <w:rPr>
          <w:rFonts w:hint="eastAsia" w:ascii="仿宋" w:hAnsi="仿宋" w:eastAsia="仿宋"/>
          <w:sz w:val="28"/>
          <w:szCs w:val="28"/>
        </w:rPr>
        <w:t>个工作日内，委托人在收到拍卖人出具的《拍卖回执书》后，由委托人在原址按现状向买受人移交实物标的，拍卖人协助监督移交。交付方式包括房屋现场指认、单价5万元以上的实物盘点及权属凭证的移交。</w:t>
      </w:r>
    </w:p>
    <w:p>
      <w:pPr>
        <w:spacing w:line="580" w:lineRule="exact"/>
        <w:ind w:firstLine="562" w:firstLineChars="200"/>
        <w:rPr>
          <w:rFonts w:ascii="仿宋" w:hAnsi="仿宋" w:eastAsia="仿宋"/>
          <w:b/>
          <w:sz w:val="28"/>
          <w:szCs w:val="28"/>
        </w:rPr>
      </w:pPr>
      <w:r>
        <w:rPr>
          <w:rFonts w:hint="eastAsia" w:ascii="仿宋" w:hAnsi="仿宋" w:eastAsia="仿宋"/>
          <w:b/>
          <w:sz w:val="28"/>
          <w:szCs w:val="28"/>
        </w:rPr>
        <w:t>九、中止和终止拍卖的办法</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按商务部《拍卖管理办法》、《四川省拍卖市场管理规定》中相关条款执行。</w:t>
      </w:r>
    </w:p>
    <w:p>
      <w:pPr>
        <w:spacing w:line="580" w:lineRule="exact"/>
        <w:ind w:firstLine="562" w:firstLineChars="200"/>
        <w:rPr>
          <w:rFonts w:ascii="仿宋" w:hAnsi="仿宋" w:eastAsia="仿宋"/>
          <w:sz w:val="28"/>
          <w:szCs w:val="28"/>
        </w:rPr>
      </w:pPr>
      <w:r>
        <w:rPr>
          <w:rFonts w:hint="eastAsia" w:ascii="仿宋" w:hAnsi="仿宋" w:eastAsia="仿宋"/>
          <w:b/>
          <w:sz w:val="28"/>
          <w:szCs w:val="28"/>
        </w:rPr>
        <w:t>十、瑕疵声明</w:t>
      </w:r>
    </w:p>
    <w:p>
      <w:pPr>
        <w:spacing w:line="580" w:lineRule="exact"/>
        <w:ind w:firstLine="562" w:firstLineChars="200"/>
        <w:rPr>
          <w:rFonts w:ascii="仿宋" w:hAnsi="仿宋" w:eastAsia="仿宋"/>
          <w:b/>
          <w:sz w:val="28"/>
          <w:szCs w:val="28"/>
          <w:u w:val="single"/>
        </w:rPr>
      </w:pPr>
      <w:r>
        <w:rPr>
          <w:rFonts w:hint="eastAsia" w:ascii="仿宋" w:hAnsi="仿宋" w:eastAsia="仿宋"/>
          <w:b/>
          <w:sz w:val="28"/>
          <w:szCs w:val="28"/>
        </w:rPr>
        <w:t>1、</w:t>
      </w:r>
      <w:r>
        <w:rPr>
          <w:rFonts w:hint="eastAsia" w:ascii="仿宋" w:hAnsi="仿宋" w:eastAsia="仿宋"/>
          <w:b/>
          <w:sz w:val="28"/>
          <w:szCs w:val="28"/>
          <w:u w:val="single"/>
        </w:rPr>
        <w:t>标的以移交时的实物和现状为准，拍卖资产清单所列财产仅供参考</w:t>
      </w:r>
      <w:r>
        <w:rPr>
          <w:rFonts w:hint="eastAsia" w:ascii="仿宋" w:hAnsi="仿宋" w:eastAsia="仿宋"/>
          <w:b/>
          <w:sz w:val="28"/>
          <w:szCs w:val="28"/>
        </w:rPr>
        <w:t>。</w:t>
      </w:r>
    </w:p>
    <w:p>
      <w:pPr>
        <w:spacing w:line="580" w:lineRule="exact"/>
        <w:ind w:firstLine="562" w:firstLineChars="200"/>
        <w:rPr>
          <w:rFonts w:ascii="仿宋" w:hAnsi="仿宋" w:eastAsia="仿宋"/>
          <w:b/>
          <w:sz w:val="28"/>
          <w:szCs w:val="28"/>
          <w:u w:val="single"/>
        </w:rPr>
      </w:pPr>
      <w:r>
        <w:rPr>
          <w:rFonts w:hint="eastAsia" w:ascii="仿宋" w:hAnsi="仿宋" w:eastAsia="仿宋"/>
          <w:b/>
          <w:sz w:val="28"/>
          <w:szCs w:val="28"/>
        </w:rPr>
        <w:t>2、</w:t>
      </w:r>
      <w:r>
        <w:rPr>
          <w:rFonts w:hint="eastAsia" w:ascii="仿宋" w:hAnsi="仿宋" w:eastAsia="仿宋"/>
          <w:b/>
          <w:sz w:val="28"/>
          <w:szCs w:val="28"/>
          <w:u w:val="single"/>
        </w:rPr>
        <w:t>拍卖标的中的土地资产，其使用权面积有可能变化</w:t>
      </w:r>
      <w:r>
        <w:rPr>
          <w:rFonts w:hint="eastAsia" w:ascii="仿宋" w:hAnsi="仿宋" w:eastAsia="仿宋"/>
          <w:b/>
          <w:sz w:val="28"/>
          <w:szCs w:val="28"/>
        </w:rPr>
        <w:t>。</w:t>
      </w:r>
    </w:p>
    <w:p>
      <w:pPr>
        <w:spacing w:line="580" w:lineRule="exact"/>
        <w:ind w:firstLine="562" w:firstLineChars="200"/>
        <w:rPr>
          <w:rFonts w:ascii="仿宋" w:hAnsi="仿宋" w:eastAsia="仿宋"/>
          <w:b/>
          <w:sz w:val="28"/>
          <w:szCs w:val="28"/>
          <w:u w:val="single"/>
        </w:rPr>
      </w:pPr>
      <w:r>
        <w:rPr>
          <w:rFonts w:hint="eastAsia" w:ascii="仿宋" w:hAnsi="仿宋" w:eastAsia="仿宋"/>
          <w:b/>
          <w:sz w:val="28"/>
          <w:szCs w:val="28"/>
        </w:rPr>
        <w:t>3、</w:t>
      </w:r>
      <w:r>
        <w:rPr>
          <w:rFonts w:hint="eastAsia" w:ascii="仿宋" w:hAnsi="仿宋" w:eastAsia="仿宋"/>
          <w:b/>
          <w:sz w:val="28"/>
          <w:szCs w:val="28"/>
          <w:u w:val="single"/>
        </w:rPr>
        <w:t>本次拍卖之标的乙方知晓的瑕疵乙方已告知甲方，未知瑕疵由甲方自行了解；由于乙方未知瑕疵给甲方造成损害的，乙方和委托人不承担瑕疵担保</w:t>
      </w:r>
      <w:r>
        <w:rPr>
          <w:rFonts w:hint="eastAsia" w:ascii="仿宋" w:hAnsi="仿宋" w:eastAsia="仿宋"/>
          <w:b/>
          <w:sz w:val="28"/>
          <w:szCs w:val="28"/>
        </w:rPr>
        <w:t>。</w:t>
      </w:r>
    </w:p>
    <w:p>
      <w:pPr>
        <w:spacing w:line="580" w:lineRule="exact"/>
        <w:ind w:firstLine="562" w:firstLineChars="200"/>
        <w:rPr>
          <w:rFonts w:ascii="仿宋" w:hAnsi="仿宋" w:eastAsia="仿宋"/>
          <w:sz w:val="28"/>
          <w:szCs w:val="28"/>
        </w:rPr>
      </w:pPr>
      <w:r>
        <w:rPr>
          <w:rFonts w:hint="eastAsia" w:ascii="仿宋" w:hAnsi="仿宋" w:eastAsia="仿宋"/>
          <w:b/>
          <w:sz w:val="28"/>
          <w:szCs w:val="28"/>
        </w:rPr>
        <w:t>十一、其他约定</w:t>
      </w:r>
    </w:p>
    <w:p>
      <w:pPr>
        <w:spacing w:line="580" w:lineRule="exact"/>
        <w:ind w:firstLine="562" w:firstLineChars="200"/>
        <w:rPr>
          <w:rFonts w:ascii="仿宋" w:hAnsi="仿宋" w:eastAsia="仿宋"/>
          <w:b/>
          <w:sz w:val="28"/>
          <w:szCs w:val="28"/>
          <w:u w:val="single"/>
        </w:rPr>
      </w:pPr>
      <w:r>
        <w:rPr>
          <w:rFonts w:hint="eastAsia" w:ascii="仿宋" w:hAnsi="仿宋" w:eastAsia="仿宋"/>
          <w:b/>
          <w:sz w:val="28"/>
          <w:szCs w:val="28"/>
        </w:rPr>
        <w:t>1、</w:t>
      </w:r>
      <w:r>
        <w:rPr>
          <w:rFonts w:hint="eastAsia" w:ascii="仿宋" w:hAnsi="仿宋" w:eastAsia="仿宋"/>
          <w:b/>
          <w:sz w:val="28"/>
          <w:szCs w:val="28"/>
          <w:u w:val="single"/>
        </w:rPr>
        <w:t>乙方已告知甲方拍卖标的的瑕疵及风险，并表示不承担瑕疵担保责任，甲方对此表示理解并愿意遵守本次拍卖会的拍卖规则</w:t>
      </w:r>
      <w:r>
        <w:rPr>
          <w:rFonts w:hint="eastAsia" w:ascii="仿宋" w:hAnsi="仿宋" w:eastAsia="仿宋"/>
          <w:b/>
          <w:sz w:val="28"/>
          <w:szCs w:val="28"/>
        </w:rPr>
        <w:t>；</w:t>
      </w:r>
    </w:p>
    <w:p>
      <w:pPr>
        <w:spacing w:line="580" w:lineRule="exact"/>
        <w:ind w:firstLine="562" w:firstLineChars="200"/>
        <w:rPr>
          <w:rFonts w:ascii="仿宋" w:hAnsi="仿宋" w:eastAsia="仿宋"/>
          <w:b/>
          <w:sz w:val="28"/>
          <w:szCs w:val="28"/>
          <w:u w:val="single"/>
        </w:rPr>
      </w:pPr>
      <w:r>
        <w:rPr>
          <w:rFonts w:hint="eastAsia" w:ascii="仿宋" w:hAnsi="仿宋" w:eastAsia="仿宋"/>
          <w:b/>
          <w:sz w:val="28"/>
          <w:szCs w:val="28"/>
        </w:rPr>
        <w:t>2、</w:t>
      </w:r>
      <w:r>
        <w:rPr>
          <w:rFonts w:hint="eastAsia" w:ascii="仿宋" w:hAnsi="仿宋" w:eastAsia="仿宋"/>
          <w:b/>
          <w:sz w:val="28"/>
          <w:szCs w:val="28"/>
          <w:u w:val="single"/>
        </w:rPr>
        <w:t>甲方认真阅读并理解了本场拍卖会《竞买须知》所列事项，自愿遵守其各项要求，并对此不持异议</w:t>
      </w:r>
      <w:r>
        <w:rPr>
          <w:rFonts w:hint="eastAsia" w:ascii="仿宋" w:hAnsi="仿宋" w:eastAsia="仿宋"/>
          <w:b/>
          <w:sz w:val="28"/>
          <w:szCs w:val="28"/>
        </w:rPr>
        <w:t>；</w:t>
      </w:r>
    </w:p>
    <w:p>
      <w:pPr>
        <w:spacing w:line="580" w:lineRule="exact"/>
        <w:ind w:firstLine="562" w:firstLineChars="200"/>
        <w:rPr>
          <w:rFonts w:ascii="仿宋" w:hAnsi="仿宋" w:eastAsia="仿宋"/>
          <w:b/>
          <w:sz w:val="28"/>
          <w:szCs w:val="28"/>
          <w:u w:val="single"/>
        </w:rPr>
      </w:pPr>
      <w:r>
        <w:rPr>
          <w:rFonts w:hint="eastAsia" w:ascii="仿宋" w:hAnsi="仿宋" w:eastAsia="仿宋"/>
          <w:b/>
          <w:sz w:val="28"/>
          <w:szCs w:val="28"/>
        </w:rPr>
        <w:t>3、</w:t>
      </w:r>
      <w:r>
        <w:rPr>
          <w:rFonts w:hint="eastAsia" w:ascii="仿宋" w:hAnsi="仿宋" w:eastAsia="仿宋"/>
          <w:b/>
          <w:sz w:val="28"/>
          <w:szCs w:val="28"/>
          <w:u w:val="single"/>
        </w:rPr>
        <w:t>拍卖标的中的土地资产，其使用权面积有可能变化，甲方若买受成功后承诺同意按产权管理部门确权的面积办理产权转移登记手续，结算价格以评估价格为基数计算差价，成交价款总额作相应调整</w:t>
      </w:r>
      <w:r>
        <w:rPr>
          <w:rFonts w:hint="eastAsia" w:ascii="仿宋" w:hAnsi="仿宋" w:eastAsia="仿宋"/>
          <w:b/>
          <w:sz w:val="28"/>
          <w:szCs w:val="28"/>
        </w:rPr>
        <w:t>；</w:t>
      </w:r>
    </w:p>
    <w:p>
      <w:pPr>
        <w:spacing w:line="580" w:lineRule="exact"/>
        <w:ind w:firstLine="562" w:firstLineChars="200"/>
        <w:rPr>
          <w:rFonts w:ascii="仿宋" w:hAnsi="仿宋" w:eastAsia="仿宋"/>
          <w:sz w:val="28"/>
          <w:szCs w:val="28"/>
        </w:rPr>
      </w:pPr>
      <w:r>
        <w:rPr>
          <w:rFonts w:hint="eastAsia" w:ascii="仿宋" w:hAnsi="仿宋" w:eastAsia="仿宋"/>
          <w:b/>
          <w:sz w:val="28"/>
          <w:szCs w:val="28"/>
        </w:rPr>
        <w:t>4、</w:t>
      </w:r>
      <w:r>
        <w:rPr>
          <w:rFonts w:hint="eastAsia" w:ascii="仿宋" w:hAnsi="仿宋" w:eastAsia="仿宋"/>
          <w:b/>
          <w:sz w:val="28"/>
          <w:szCs w:val="28"/>
          <w:u w:val="single"/>
        </w:rPr>
        <w:t>若甲方成功买受标的后则自行办理产权过户登记手续，乙方配合委托人协助甲方接收拍卖标的，办理产权过户登记手续。产权过户涉及的税、费由委托人和买受人按国家规定各自承担相应部分，产权证工本费由买受人承担</w:t>
      </w:r>
      <w:r>
        <w:rPr>
          <w:rFonts w:hint="eastAsia" w:ascii="仿宋" w:hAnsi="仿宋" w:eastAsia="仿宋"/>
          <w:b/>
          <w:sz w:val="28"/>
          <w:szCs w:val="28"/>
        </w:rPr>
        <w:t>。</w:t>
      </w:r>
    </w:p>
    <w:p>
      <w:pPr>
        <w:spacing w:line="580" w:lineRule="exact"/>
        <w:ind w:firstLine="562" w:firstLineChars="200"/>
        <w:rPr>
          <w:rFonts w:ascii="仿宋" w:hAnsi="仿宋" w:eastAsia="仿宋"/>
          <w:b/>
          <w:sz w:val="28"/>
          <w:szCs w:val="28"/>
        </w:rPr>
      </w:pPr>
      <w:r>
        <w:rPr>
          <w:rFonts w:hint="eastAsia" w:ascii="仿宋" w:hAnsi="仿宋" w:eastAsia="仿宋"/>
          <w:b/>
          <w:sz w:val="28"/>
          <w:szCs w:val="28"/>
        </w:rPr>
        <w:t>十二、</w:t>
      </w:r>
      <w:r>
        <w:rPr>
          <w:rFonts w:hint="eastAsia" w:ascii="仿宋" w:hAnsi="仿宋" w:eastAsia="仿宋"/>
          <w:sz w:val="28"/>
          <w:szCs w:val="28"/>
        </w:rPr>
        <w:t xml:space="preserve">乙方之拍卖标的均根据委托人提供的权益进行拍卖，甲方若发现买受的标的有与委托人提供的权益不符或者存在其它瑕疵，由委托人负责解决。 </w:t>
      </w:r>
    </w:p>
    <w:p>
      <w:pPr>
        <w:spacing w:line="580" w:lineRule="exact"/>
        <w:ind w:firstLine="562" w:firstLineChars="200"/>
        <w:rPr>
          <w:rFonts w:ascii="仿宋" w:hAnsi="仿宋" w:eastAsia="仿宋"/>
          <w:b/>
          <w:sz w:val="28"/>
          <w:szCs w:val="28"/>
        </w:rPr>
      </w:pPr>
      <w:r>
        <w:rPr>
          <w:rFonts w:hint="eastAsia" w:ascii="仿宋" w:hAnsi="仿宋" w:eastAsia="仿宋"/>
          <w:b/>
          <w:snapToGrid w:val="0"/>
          <w:kern w:val="0"/>
          <w:sz w:val="28"/>
          <w:szCs w:val="28"/>
        </w:rPr>
        <w:t>十三、</w:t>
      </w:r>
      <w:r>
        <w:rPr>
          <w:rFonts w:hint="eastAsia" w:ascii="仿宋" w:hAnsi="仿宋" w:eastAsia="仿宋"/>
          <w:b/>
          <w:sz w:val="28"/>
          <w:szCs w:val="28"/>
        </w:rPr>
        <w:t>争议的解决方式</w:t>
      </w:r>
    </w:p>
    <w:p>
      <w:pPr>
        <w:spacing w:line="580" w:lineRule="exact"/>
        <w:ind w:firstLine="560" w:firstLineChars="200"/>
        <w:rPr>
          <w:rFonts w:ascii="仿宋" w:hAnsi="仿宋" w:eastAsia="仿宋"/>
          <w:sz w:val="28"/>
          <w:szCs w:val="28"/>
        </w:rPr>
      </w:pPr>
      <w:r>
        <w:rPr>
          <w:rFonts w:hint="eastAsia" w:ascii="仿宋" w:hAnsi="仿宋" w:eastAsia="仿宋"/>
          <w:sz w:val="28"/>
          <w:szCs w:val="28"/>
        </w:rPr>
        <w:t>双方在履行协议过程中若发生争议的，可协商解决。如协商不成，可按以下第</w:t>
      </w:r>
      <w:r>
        <w:rPr>
          <w:rFonts w:hint="eastAsia" w:ascii="仿宋" w:hAnsi="仿宋" w:eastAsia="仿宋"/>
          <w:sz w:val="28"/>
          <w:szCs w:val="28"/>
          <w:u w:val="single"/>
        </w:rPr>
        <w:t>Ｂ</w:t>
      </w:r>
      <w:r>
        <w:rPr>
          <w:rFonts w:hint="eastAsia" w:ascii="仿宋" w:hAnsi="仿宋" w:eastAsia="仿宋"/>
          <w:sz w:val="28"/>
          <w:szCs w:val="28"/>
        </w:rPr>
        <w:t>种方式解决：</w:t>
      </w:r>
    </w:p>
    <w:p>
      <w:pPr>
        <w:spacing w:line="580" w:lineRule="exact"/>
        <w:ind w:firstLine="560" w:firstLineChars="200"/>
        <w:rPr>
          <w:rFonts w:ascii="仿宋" w:hAnsi="仿宋" w:eastAsia="仿宋"/>
          <w:b/>
          <w:sz w:val="28"/>
          <w:szCs w:val="28"/>
        </w:rPr>
      </w:pPr>
      <w:r>
        <w:rPr>
          <w:rFonts w:hint="eastAsia" w:ascii="仿宋" w:hAnsi="仿宋" w:eastAsia="仿宋"/>
          <w:sz w:val="28"/>
          <w:szCs w:val="28"/>
        </w:rPr>
        <w:t>Ａ、向仲裁委员会申请仲裁；    Ｂ、向标的所在地人民法院诉讼。</w:t>
      </w:r>
    </w:p>
    <w:p>
      <w:pPr>
        <w:spacing w:line="580" w:lineRule="exact"/>
        <w:ind w:firstLine="562" w:firstLineChars="200"/>
        <w:rPr>
          <w:rFonts w:ascii="仿宋" w:hAnsi="仿宋" w:eastAsia="仿宋"/>
          <w:snapToGrid w:val="0"/>
          <w:kern w:val="0"/>
          <w:sz w:val="28"/>
          <w:szCs w:val="28"/>
        </w:rPr>
      </w:pPr>
      <w:r>
        <w:rPr>
          <w:rFonts w:hint="eastAsia" w:ascii="仿宋" w:hAnsi="仿宋" w:eastAsia="仿宋"/>
          <w:b/>
          <w:snapToGrid w:val="0"/>
          <w:kern w:val="0"/>
          <w:sz w:val="28"/>
          <w:szCs w:val="28"/>
        </w:rPr>
        <w:t>十四、本协议共伍页，壹式叁份</w:t>
      </w:r>
      <w:r>
        <w:rPr>
          <w:rFonts w:hint="eastAsia" w:ascii="仿宋" w:hAnsi="仿宋" w:eastAsia="仿宋"/>
          <w:snapToGrid w:val="0"/>
          <w:kern w:val="0"/>
          <w:sz w:val="28"/>
          <w:szCs w:val="28"/>
        </w:rPr>
        <w:t>，甲方持壹份，乙方持贰份。自双方代表人签字盖章后生效。</w:t>
      </w:r>
    </w:p>
    <w:p>
      <w:pPr>
        <w:spacing w:line="360" w:lineRule="exact"/>
        <w:rPr>
          <w:rFonts w:ascii="仿宋" w:hAnsi="仿宋" w:eastAsia="仿宋"/>
          <w:snapToGrid w:val="0"/>
          <w:kern w:val="0"/>
          <w:sz w:val="28"/>
          <w:szCs w:val="28"/>
        </w:rPr>
      </w:pPr>
    </w:p>
    <w:p>
      <w:pPr>
        <w:tabs>
          <w:tab w:val="left" w:pos="900"/>
        </w:tabs>
        <w:spacing w:line="560" w:lineRule="exact"/>
        <w:ind w:firstLine="840" w:firstLineChars="300"/>
        <w:rPr>
          <w:rFonts w:ascii="仿宋" w:hAnsi="仿宋" w:eastAsia="仿宋" w:cs="宋体"/>
          <w:spacing w:val="-20"/>
          <w:sz w:val="28"/>
          <w:szCs w:val="28"/>
        </w:rPr>
      </w:pPr>
      <w:r>
        <w:rPr>
          <w:rFonts w:hint="eastAsia" w:ascii="仿宋" w:hAnsi="仿宋" w:eastAsia="仿宋" w:cs="宋体"/>
          <w:sz w:val="28"/>
          <w:szCs w:val="28"/>
        </w:rPr>
        <w:t>竞买人（盖章）：                拍  卖  人（盖章）：</w:t>
      </w:r>
      <w:r>
        <w:rPr>
          <w:rFonts w:hint="eastAsia" w:ascii="仿宋" w:hAnsi="仿宋" w:eastAsia="仿宋" w:cs="宋体"/>
          <w:spacing w:val="-20"/>
          <w:sz w:val="28"/>
          <w:szCs w:val="28"/>
        </w:rPr>
        <w:t xml:space="preserve"> </w:t>
      </w:r>
    </w:p>
    <w:p>
      <w:pPr>
        <w:tabs>
          <w:tab w:val="left" w:pos="900"/>
        </w:tabs>
        <w:spacing w:line="560" w:lineRule="exact"/>
        <w:rPr>
          <w:rFonts w:ascii="仿宋" w:hAnsi="仿宋" w:eastAsia="仿宋" w:cs="宋体"/>
          <w:spacing w:val="-20"/>
          <w:sz w:val="28"/>
          <w:szCs w:val="28"/>
        </w:rPr>
      </w:pPr>
    </w:p>
    <w:p>
      <w:pPr>
        <w:tabs>
          <w:tab w:val="left" w:pos="900"/>
        </w:tabs>
        <w:spacing w:line="560" w:lineRule="exact"/>
        <w:ind w:right="560" w:firstLine="840" w:firstLineChars="300"/>
        <w:rPr>
          <w:rFonts w:ascii="仿宋" w:hAnsi="仿宋" w:eastAsia="仿宋" w:cs="宋体"/>
          <w:bCs/>
          <w:sz w:val="28"/>
          <w:szCs w:val="28"/>
        </w:rPr>
      </w:pPr>
      <w:r>
        <w:rPr>
          <w:rFonts w:hint="eastAsia" w:ascii="仿宋" w:hAnsi="仿宋" w:eastAsia="仿宋" w:cs="宋体"/>
          <w:sz w:val="28"/>
          <w:szCs w:val="28"/>
        </w:rPr>
        <w:t>代表人（签字）：                法定代表人（盖章）：</w:t>
      </w:r>
      <w:r>
        <w:rPr>
          <w:rFonts w:hint="eastAsia" w:ascii="仿宋" w:hAnsi="仿宋" w:eastAsia="仿宋" w:cs="宋体"/>
          <w:bCs/>
          <w:sz w:val="28"/>
          <w:szCs w:val="28"/>
        </w:rPr>
        <w:t xml:space="preserve"> </w:t>
      </w:r>
    </w:p>
    <w:p>
      <w:pPr>
        <w:spacing w:line="480" w:lineRule="exact"/>
        <w:rPr>
          <w:rFonts w:ascii="仿宋" w:hAnsi="仿宋" w:eastAsia="仿宋"/>
          <w:sz w:val="28"/>
          <w:szCs w:val="28"/>
        </w:rPr>
      </w:pPr>
      <w:r>
        <w:rPr>
          <w:rFonts w:hint="eastAsia" w:ascii="仿宋" w:hAnsi="仿宋" w:eastAsia="仿宋"/>
          <w:sz w:val="28"/>
          <w:szCs w:val="28"/>
        </w:rPr>
        <w:t xml:space="preserve">                                  </w:t>
      </w:r>
    </w:p>
    <w:p>
      <w:pPr>
        <w:spacing w:line="360" w:lineRule="exact"/>
        <w:ind w:firstLine="1400" w:firstLineChars="500"/>
        <w:rPr>
          <w:rFonts w:ascii="仿宋" w:hAnsi="仿宋" w:eastAsia="仿宋"/>
          <w:sz w:val="28"/>
          <w:szCs w:val="28"/>
        </w:rPr>
      </w:pPr>
    </w:p>
    <w:p>
      <w:pPr>
        <w:spacing w:line="480" w:lineRule="exact"/>
        <w:ind w:firstLine="1400" w:firstLineChars="500"/>
        <w:jc w:val="right"/>
        <w:rPr>
          <w:rFonts w:ascii="仿宋" w:hAnsi="仿宋" w:eastAsia="仿宋"/>
          <w:sz w:val="28"/>
          <w:szCs w:val="28"/>
        </w:rPr>
      </w:pPr>
      <w:r>
        <w:rPr>
          <w:rFonts w:hint="eastAsia" w:ascii="仿宋" w:hAnsi="仿宋" w:eastAsia="仿宋"/>
          <w:sz w:val="28"/>
          <w:szCs w:val="28"/>
        </w:rPr>
        <w:t>2021年  月  日</w:t>
      </w:r>
    </w:p>
    <w:p>
      <w:pPr>
        <w:spacing w:line="360" w:lineRule="exact"/>
        <w:ind w:right="142" w:firstLine="1400" w:firstLineChars="500"/>
        <w:jc w:val="right"/>
        <w:rPr>
          <w:rFonts w:ascii="仿宋" w:hAnsi="仿宋" w:eastAsia="仿宋"/>
          <w:sz w:val="28"/>
          <w:szCs w:val="28"/>
        </w:rPr>
      </w:pPr>
    </w:p>
    <w:p>
      <w:pPr>
        <w:spacing w:line="360" w:lineRule="exact"/>
        <w:ind w:right="142" w:firstLine="1400" w:firstLineChars="500"/>
        <w:jc w:val="right"/>
        <w:rPr>
          <w:rFonts w:ascii="仿宋" w:hAnsi="仿宋" w:eastAsia="仿宋"/>
          <w:sz w:val="28"/>
          <w:szCs w:val="28"/>
        </w:rPr>
      </w:pPr>
    </w:p>
    <w:p>
      <w:pPr>
        <w:spacing w:line="360" w:lineRule="exact"/>
        <w:ind w:right="142" w:firstLine="1400" w:firstLineChars="500"/>
        <w:jc w:val="right"/>
        <w:rPr>
          <w:rFonts w:ascii="仿宋" w:hAnsi="仿宋" w:eastAsia="仿宋"/>
          <w:sz w:val="28"/>
          <w:szCs w:val="28"/>
        </w:rPr>
      </w:pPr>
    </w:p>
    <w:p>
      <w:pPr>
        <w:spacing w:line="360" w:lineRule="exact"/>
        <w:ind w:right="142" w:firstLine="1400" w:firstLineChars="500"/>
        <w:jc w:val="right"/>
        <w:rPr>
          <w:rFonts w:ascii="仿宋" w:hAnsi="仿宋" w:eastAsia="仿宋"/>
          <w:sz w:val="28"/>
          <w:szCs w:val="28"/>
        </w:rPr>
      </w:pPr>
    </w:p>
    <w:p>
      <w:pPr>
        <w:spacing w:line="360" w:lineRule="exact"/>
        <w:ind w:right="142" w:firstLine="1400" w:firstLineChars="500"/>
        <w:jc w:val="right"/>
        <w:rPr>
          <w:rFonts w:ascii="仿宋" w:hAnsi="仿宋" w:eastAsia="仿宋"/>
          <w:sz w:val="28"/>
          <w:szCs w:val="28"/>
        </w:rPr>
      </w:pPr>
    </w:p>
    <w:p>
      <w:pPr>
        <w:spacing w:line="760" w:lineRule="exact"/>
        <w:jc w:val="center"/>
        <w:rPr>
          <w:rFonts w:ascii="宋体" w:hAnsi="宋体"/>
          <w:b/>
          <w:spacing w:val="40"/>
          <w:sz w:val="36"/>
          <w:szCs w:val="36"/>
        </w:rPr>
      </w:pPr>
      <w:r>
        <w:rPr>
          <w:rFonts w:hint="eastAsia" w:ascii="宋体" w:hAnsi="宋体"/>
          <w:b/>
          <w:spacing w:val="40"/>
          <w:sz w:val="36"/>
          <w:szCs w:val="36"/>
        </w:rPr>
        <w:t>拍卖标的简介</w:t>
      </w:r>
    </w:p>
    <w:p>
      <w:pPr>
        <w:spacing w:line="240" w:lineRule="exact"/>
        <w:jc w:val="center"/>
        <w:rPr>
          <w:rFonts w:ascii="仿宋" w:hAnsi="仿宋" w:eastAsia="仿宋"/>
          <w:b/>
          <w:sz w:val="44"/>
          <w:szCs w:val="44"/>
        </w:rPr>
      </w:pPr>
    </w:p>
    <w:p>
      <w:pPr>
        <w:ind w:firstLine="562" w:firstLineChars="200"/>
        <w:jc w:val="left"/>
        <w:rPr>
          <w:rFonts w:ascii="仿宋" w:hAnsi="仿宋" w:eastAsia="仿宋"/>
          <w:b/>
          <w:sz w:val="28"/>
          <w:szCs w:val="28"/>
        </w:rPr>
      </w:pPr>
      <w:r>
        <w:rPr>
          <w:rFonts w:hint="eastAsia" w:ascii="仿宋" w:hAnsi="仿宋" w:eastAsia="仿宋"/>
          <w:b/>
          <w:sz w:val="28"/>
          <w:szCs w:val="28"/>
        </w:rPr>
        <w:t>一、标的地理位置</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t>位于四川省广元经济技术开发区袁家坝工业园区怀德路2号。</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drawing>
          <wp:inline distT="0" distB="0" distL="0" distR="0">
            <wp:extent cx="5343525" cy="2154555"/>
            <wp:effectExtent l="0" t="0" r="9525" b="0"/>
            <wp:docPr id="21" name="图片 1" descr="QQ截图20210203111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QQ截图2021020311195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43525" cy="2154555"/>
                    </a:xfrm>
                    <a:prstGeom prst="rect">
                      <a:avLst/>
                    </a:prstGeom>
                    <a:noFill/>
                    <a:ln>
                      <a:noFill/>
                    </a:ln>
                  </pic:spPr>
                </pic:pic>
              </a:graphicData>
            </a:graphic>
          </wp:inline>
        </w:drawing>
      </w:r>
    </w:p>
    <w:p>
      <w:pPr>
        <w:ind w:firstLine="562" w:firstLineChars="200"/>
        <w:jc w:val="left"/>
        <w:rPr>
          <w:rFonts w:ascii="仿宋" w:hAnsi="仿宋" w:eastAsia="仿宋"/>
          <w:b/>
          <w:sz w:val="28"/>
          <w:szCs w:val="28"/>
        </w:rPr>
      </w:pPr>
      <w:r>
        <w:rPr>
          <w:rFonts w:hint="eastAsia" w:ascii="仿宋" w:hAnsi="仿宋" w:eastAsia="仿宋"/>
          <w:b/>
          <w:sz w:val="28"/>
          <w:szCs w:val="28"/>
        </w:rPr>
        <w:t>二、拍卖标的概况</w:t>
      </w:r>
    </w:p>
    <w:p>
      <w:pPr>
        <w:ind w:firstLine="560" w:firstLineChars="200"/>
        <w:jc w:val="left"/>
        <w:rPr>
          <w:rFonts w:ascii="仿宋" w:hAnsi="仿宋" w:eastAsia="仿宋" w:cs="仿宋"/>
          <w:bCs/>
          <w:sz w:val="28"/>
          <w:szCs w:val="28"/>
        </w:rPr>
      </w:pPr>
      <w:r>
        <w:rPr>
          <w:rFonts w:hint="eastAsia" w:ascii="仿宋" w:hAnsi="仿宋" w:eastAsia="仿宋" w:cs="仿宋"/>
          <w:bCs/>
          <w:sz w:val="28"/>
          <w:szCs w:val="28"/>
        </w:rPr>
        <w:t>1、工业用途土地使用权以围墙为界面积约250.86亩，出让期限至2053年10月16日止；</w:t>
      </w:r>
    </w:p>
    <w:p>
      <w:pPr>
        <w:spacing w:line="500" w:lineRule="exact"/>
        <w:ind w:firstLine="560" w:firstLineChars="200"/>
        <w:rPr>
          <w:rFonts w:ascii="仿宋" w:hAnsi="仿宋" w:eastAsia="仿宋" w:cs="仿宋"/>
          <w:bCs/>
          <w:sz w:val="28"/>
          <w:szCs w:val="28"/>
        </w:rPr>
      </w:pPr>
      <w:r>
        <w:rPr>
          <w:rFonts w:hint="eastAsia" w:ascii="仿宋" w:hAnsi="仿宋" w:eastAsia="仿宋" w:cs="仿宋"/>
          <w:bCs/>
          <w:sz w:val="28"/>
          <w:szCs w:val="28"/>
        </w:rPr>
        <w:t>2、房屋建筑物：房屋60幢，建筑面积约56335㎡；</w:t>
      </w:r>
    </w:p>
    <w:p>
      <w:pPr>
        <w:spacing w:line="500" w:lineRule="exact"/>
        <w:ind w:firstLine="560" w:firstLineChars="200"/>
        <w:rPr>
          <w:rFonts w:ascii="仿宋" w:hAnsi="仿宋" w:eastAsia="仿宋" w:cs="仿宋"/>
          <w:bCs/>
          <w:sz w:val="28"/>
          <w:szCs w:val="28"/>
        </w:rPr>
      </w:pPr>
      <w:r>
        <w:rPr>
          <w:rFonts w:hint="eastAsia" w:ascii="仿宋" w:hAnsi="仿宋" w:eastAsia="仿宋" w:cs="仿宋"/>
          <w:bCs/>
          <w:sz w:val="28"/>
          <w:szCs w:val="28"/>
        </w:rPr>
        <w:t>3、构筑物(含3个煅后料仓、３个筒仓及两个烟囱)；</w:t>
      </w:r>
    </w:p>
    <w:p>
      <w:pPr>
        <w:spacing w:line="500" w:lineRule="exact"/>
        <w:ind w:firstLine="560" w:firstLineChars="200"/>
        <w:rPr>
          <w:rFonts w:ascii="仿宋" w:hAnsi="仿宋" w:eastAsia="仿宋" w:cs="仿宋"/>
          <w:bCs/>
          <w:sz w:val="28"/>
          <w:szCs w:val="28"/>
        </w:rPr>
      </w:pPr>
      <w:r>
        <w:rPr>
          <w:rFonts w:hint="eastAsia" w:ascii="仿宋" w:hAnsi="仿宋" w:eastAsia="仿宋" w:cs="仿宋"/>
          <w:bCs/>
          <w:sz w:val="28"/>
          <w:szCs w:val="28"/>
        </w:rPr>
        <w:t>4、机器设备（含炭素阳极生产线、余热电厂）。</w:t>
      </w:r>
    </w:p>
    <w:p>
      <w:pPr>
        <w:pStyle w:val="19"/>
        <w:rPr>
          <w:rFonts w:ascii="仿宋" w:hAnsi="仿宋" w:eastAsia="仿宋"/>
          <w:sz w:val="28"/>
          <w:szCs w:val="28"/>
        </w:rPr>
      </w:pPr>
      <w:r>
        <w:rPr>
          <w:rFonts w:ascii="仿宋" w:hAnsi="仿宋" w:eastAsia="仿宋"/>
          <w:sz w:val="28"/>
          <w:szCs w:val="28"/>
        </w:rPr>
        <w:drawing>
          <wp:inline distT="0" distB="0" distL="0" distR="0">
            <wp:extent cx="2560320" cy="2106930"/>
            <wp:effectExtent l="0" t="0" r="0" b="7620"/>
            <wp:docPr id="2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0320" cy="2106930"/>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719070" cy="2099310"/>
            <wp:effectExtent l="0" t="0" r="5080" b="0"/>
            <wp:docPr id="19"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9070" cy="2099310"/>
                    </a:xfrm>
                    <a:prstGeom prst="rect">
                      <a:avLst/>
                    </a:prstGeom>
                    <a:noFill/>
                    <a:ln>
                      <a:noFill/>
                    </a:ln>
                  </pic:spPr>
                </pic:pic>
              </a:graphicData>
            </a:graphic>
          </wp:inline>
        </w:drawing>
      </w:r>
    </w:p>
    <w:p>
      <w:pPr>
        <w:pStyle w:val="19"/>
        <w:spacing w:before="120"/>
        <w:ind w:firstLine="843" w:firstLineChars="300"/>
        <w:jc w:val="both"/>
        <w:rPr>
          <w:rFonts w:ascii="仿宋" w:hAnsi="仿宋" w:eastAsia="仿宋"/>
          <w:sz w:val="28"/>
          <w:szCs w:val="28"/>
        </w:rPr>
      </w:pPr>
      <w:r>
        <w:rPr>
          <w:rFonts w:hint="eastAsia" w:ascii="仿宋" w:hAnsi="仿宋" w:eastAsia="仿宋"/>
          <w:sz w:val="28"/>
          <w:szCs w:val="28"/>
        </w:rPr>
        <w:t>图1 （厂区大门）              图2 （阳极碳块焙烧车间）</w:t>
      </w:r>
    </w:p>
    <w:p>
      <w:pPr>
        <w:pStyle w:val="19"/>
        <w:spacing w:before="0" w:after="0" w:line="240" w:lineRule="exact"/>
        <w:jc w:val="both"/>
        <w:rPr>
          <w:rFonts w:ascii="仿宋" w:hAnsi="仿宋" w:eastAsia="仿宋"/>
          <w:sz w:val="28"/>
          <w:szCs w:val="28"/>
        </w:rPr>
      </w:pPr>
    </w:p>
    <w:p>
      <w:pPr>
        <w:pStyle w:val="19"/>
        <w:spacing w:before="0" w:after="0" w:line="240" w:lineRule="exact"/>
        <w:jc w:val="both"/>
        <w:rPr>
          <w:rFonts w:ascii="仿宋" w:hAnsi="仿宋" w:eastAsia="仿宋"/>
          <w:sz w:val="28"/>
          <w:szCs w:val="28"/>
        </w:rPr>
      </w:pPr>
    </w:p>
    <w:p>
      <w:pPr>
        <w:pStyle w:val="19"/>
        <w:spacing w:before="0" w:after="0"/>
        <w:rPr>
          <w:rFonts w:ascii="仿宋" w:hAnsi="仿宋" w:eastAsia="仿宋"/>
          <w:sz w:val="28"/>
          <w:szCs w:val="28"/>
        </w:rPr>
      </w:pPr>
      <w:r>
        <w:rPr>
          <w:rFonts w:ascii="仿宋" w:hAnsi="仿宋" w:eastAsia="仿宋"/>
          <w:sz w:val="28"/>
          <w:szCs w:val="28"/>
        </w:rPr>
        <w:drawing>
          <wp:inline distT="0" distB="0" distL="0" distR="0">
            <wp:extent cx="2607945" cy="1939925"/>
            <wp:effectExtent l="0" t="0" r="1905" b="3175"/>
            <wp:docPr id="1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07945" cy="193992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679700" cy="1939925"/>
            <wp:effectExtent l="0" t="0" r="6350" b="3175"/>
            <wp:docPr id="5"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79700" cy="1939925"/>
                    </a:xfrm>
                    <a:prstGeom prst="rect">
                      <a:avLst/>
                    </a:prstGeom>
                    <a:noFill/>
                    <a:ln>
                      <a:noFill/>
                    </a:ln>
                  </pic:spPr>
                </pic:pic>
              </a:graphicData>
            </a:graphic>
          </wp:inline>
        </w:drawing>
      </w:r>
    </w:p>
    <w:p>
      <w:pPr>
        <w:pStyle w:val="19"/>
        <w:spacing w:before="120"/>
        <w:ind w:firstLine="703" w:firstLineChars="250"/>
        <w:jc w:val="both"/>
        <w:rPr>
          <w:rFonts w:ascii="仿宋" w:hAnsi="仿宋" w:eastAsia="仿宋"/>
          <w:sz w:val="28"/>
          <w:szCs w:val="28"/>
        </w:rPr>
      </w:pPr>
      <w:r>
        <w:rPr>
          <w:rFonts w:hint="eastAsia" w:ascii="仿宋" w:hAnsi="仿宋" w:eastAsia="仿宋"/>
          <w:sz w:val="28"/>
          <w:szCs w:val="28"/>
        </w:rPr>
        <w:t>图3 （焙烧车间冷确设备）           图4 （材料中转车间）</w:t>
      </w:r>
    </w:p>
    <w:p>
      <w:pPr>
        <w:pStyle w:val="19"/>
        <w:rPr>
          <w:rFonts w:ascii="仿宋" w:hAnsi="仿宋" w:eastAsia="仿宋"/>
          <w:sz w:val="28"/>
          <w:szCs w:val="28"/>
        </w:rPr>
      </w:pPr>
      <w:r>
        <w:rPr>
          <w:rFonts w:ascii="仿宋" w:hAnsi="仿宋" w:eastAsia="仿宋"/>
          <w:sz w:val="28"/>
          <w:szCs w:val="28"/>
        </w:rPr>
        <w:drawing>
          <wp:inline distT="0" distB="0" distL="0" distR="0">
            <wp:extent cx="2496820" cy="2250440"/>
            <wp:effectExtent l="0" t="0" r="0" b="0"/>
            <wp:docPr id="6"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6820" cy="2250440"/>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449195" cy="2234565"/>
            <wp:effectExtent l="0" t="0" r="8255" b="0"/>
            <wp:docPr id="7"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49195" cy="2234565"/>
                    </a:xfrm>
                    <a:prstGeom prst="rect">
                      <a:avLst/>
                    </a:prstGeom>
                    <a:noFill/>
                    <a:ln>
                      <a:noFill/>
                    </a:ln>
                  </pic:spPr>
                </pic:pic>
              </a:graphicData>
            </a:graphic>
          </wp:inline>
        </w:drawing>
      </w:r>
    </w:p>
    <w:p>
      <w:pPr>
        <w:pStyle w:val="19"/>
        <w:spacing w:before="120"/>
        <w:ind w:firstLine="838" w:firstLineChars="298"/>
        <w:jc w:val="both"/>
        <w:rPr>
          <w:rFonts w:ascii="仿宋" w:hAnsi="仿宋" w:eastAsia="仿宋"/>
          <w:sz w:val="28"/>
          <w:szCs w:val="28"/>
        </w:rPr>
      </w:pPr>
      <w:r>
        <w:rPr>
          <w:rFonts w:hint="eastAsia" w:ascii="仿宋" w:hAnsi="仿宋" w:eastAsia="仿宋"/>
          <w:sz w:val="28"/>
          <w:szCs w:val="28"/>
        </w:rPr>
        <w:t>图5 （煅烧设施外景）                图6 （焙烧车间行车）</w:t>
      </w:r>
    </w:p>
    <w:p>
      <w:pPr>
        <w:pStyle w:val="19"/>
        <w:spacing w:before="0" w:after="0"/>
        <w:ind w:firstLine="281" w:firstLineChars="100"/>
        <w:rPr>
          <w:rFonts w:ascii="仿宋" w:hAnsi="仿宋" w:eastAsia="仿宋"/>
          <w:sz w:val="28"/>
          <w:szCs w:val="28"/>
        </w:rPr>
      </w:pPr>
      <w:r>
        <w:rPr>
          <w:rFonts w:ascii="仿宋" w:hAnsi="仿宋" w:eastAsia="仿宋"/>
          <w:sz w:val="28"/>
          <w:szCs w:val="28"/>
        </w:rPr>
        <w:drawing>
          <wp:inline distT="0" distB="0" distL="0" distR="0">
            <wp:extent cx="2218690" cy="2655570"/>
            <wp:effectExtent l="0" t="0" r="0" b="0"/>
            <wp:docPr id="8"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18690" cy="2655570"/>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027555" cy="2496820"/>
            <wp:effectExtent l="0" t="0" r="0" b="0"/>
            <wp:docPr id="9" name="图片 13" descr="IMG_20210107_1644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0210107_164443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27555" cy="2496820"/>
                    </a:xfrm>
                    <a:prstGeom prst="rect">
                      <a:avLst/>
                    </a:prstGeom>
                    <a:noFill/>
                    <a:ln>
                      <a:noFill/>
                    </a:ln>
                  </pic:spPr>
                </pic:pic>
              </a:graphicData>
            </a:graphic>
          </wp:inline>
        </w:drawing>
      </w:r>
    </w:p>
    <w:p>
      <w:pPr>
        <w:pStyle w:val="19"/>
        <w:spacing w:before="0" w:after="0"/>
        <w:ind w:firstLine="984" w:firstLineChars="350"/>
        <w:jc w:val="both"/>
        <w:rPr>
          <w:rFonts w:ascii="仿宋" w:hAnsi="仿宋" w:eastAsia="仿宋"/>
          <w:sz w:val="28"/>
          <w:szCs w:val="28"/>
        </w:rPr>
      </w:pPr>
      <w:r>
        <w:rPr>
          <w:rFonts w:hint="eastAsia" w:ascii="仿宋" w:hAnsi="仿宋" w:eastAsia="仿宋"/>
          <w:sz w:val="28"/>
          <w:szCs w:val="28"/>
        </w:rPr>
        <w:t>图7  （煅后料仓）</w:t>
      </w:r>
      <w:r>
        <w:rPr>
          <w:rFonts w:hint="eastAsia" w:ascii="仿宋" w:hAnsi="仿宋" w:eastAsia="仿宋"/>
          <w:szCs w:val="21"/>
        </w:rPr>
        <w:t xml:space="preserve">                         </w:t>
      </w:r>
      <w:r>
        <w:rPr>
          <w:rFonts w:hint="eastAsia" w:ascii="仿宋" w:hAnsi="仿宋" w:eastAsia="仿宋"/>
          <w:sz w:val="28"/>
          <w:szCs w:val="28"/>
        </w:rPr>
        <w:t>图8  （生阳极高楼部）</w:t>
      </w:r>
    </w:p>
    <w:p>
      <w:pPr>
        <w:pStyle w:val="19"/>
        <w:spacing w:before="0" w:after="0" w:line="240" w:lineRule="exact"/>
        <w:ind w:firstLine="562" w:firstLineChars="200"/>
        <w:jc w:val="both"/>
        <w:rPr>
          <w:rFonts w:ascii="仿宋" w:hAnsi="仿宋" w:eastAsia="仿宋"/>
          <w:sz w:val="28"/>
          <w:szCs w:val="28"/>
        </w:rPr>
      </w:pPr>
    </w:p>
    <w:p>
      <w:pPr>
        <w:pStyle w:val="19"/>
        <w:spacing w:before="0" w:after="0"/>
        <w:ind w:left="737" w:leftChars="150" w:hanging="422" w:hangingChars="150"/>
        <w:rPr>
          <w:rFonts w:ascii="仿宋" w:hAnsi="仿宋" w:eastAsia="仿宋"/>
          <w:sz w:val="28"/>
          <w:szCs w:val="28"/>
        </w:rPr>
      </w:pPr>
      <w:r>
        <w:rPr>
          <w:rFonts w:ascii="仿宋" w:hAnsi="仿宋" w:eastAsia="仿宋"/>
          <w:sz w:val="28"/>
          <w:szCs w:val="28"/>
        </w:rPr>
        <w:drawing>
          <wp:inline distT="0" distB="0" distL="0" distR="0">
            <wp:extent cx="2170430" cy="2369185"/>
            <wp:effectExtent l="0" t="0" r="1270" b="0"/>
            <wp:docPr id="10" name="图片 14" descr="IMG_20210107_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0210107_1620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70430" cy="236918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138680" cy="2369185"/>
            <wp:effectExtent l="0" t="0" r="0" b="0"/>
            <wp:docPr id="11" name="图片 15" descr="IMG_20210107_16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0210107_1654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38680" cy="2369185"/>
                    </a:xfrm>
                    <a:prstGeom prst="rect">
                      <a:avLst/>
                    </a:prstGeom>
                    <a:noFill/>
                    <a:ln>
                      <a:noFill/>
                    </a:ln>
                  </pic:spPr>
                </pic:pic>
              </a:graphicData>
            </a:graphic>
          </wp:inline>
        </w:drawing>
      </w:r>
    </w:p>
    <w:p>
      <w:pPr>
        <w:pStyle w:val="19"/>
        <w:spacing w:before="0" w:after="0"/>
        <w:ind w:left="630" w:leftChars="300" w:firstLine="422" w:firstLineChars="150"/>
        <w:jc w:val="both"/>
        <w:rPr>
          <w:rFonts w:ascii="仿宋" w:hAnsi="仿宋" w:eastAsia="仿宋"/>
          <w:sz w:val="28"/>
          <w:szCs w:val="28"/>
        </w:rPr>
      </w:pPr>
      <w:r>
        <w:rPr>
          <w:rFonts w:hint="eastAsia" w:ascii="仿宋" w:hAnsi="仿宋" w:eastAsia="仿宋"/>
          <w:sz w:val="28"/>
          <w:szCs w:val="28"/>
        </w:rPr>
        <w:t>图9  （焙烧设备 ）                   图10  （烟囱）</w:t>
      </w:r>
    </w:p>
    <w:p>
      <w:pPr>
        <w:pStyle w:val="19"/>
        <w:spacing w:before="0" w:after="0" w:line="100" w:lineRule="exact"/>
        <w:ind w:left="630" w:leftChars="300"/>
        <w:jc w:val="both"/>
        <w:rPr>
          <w:rFonts w:ascii="仿宋" w:hAnsi="仿宋" w:eastAsia="仿宋"/>
          <w:sz w:val="28"/>
          <w:szCs w:val="28"/>
        </w:rPr>
      </w:pPr>
    </w:p>
    <w:p>
      <w:pPr>
        <w:pStyle w:val="19"/>
        <w:spacing w:before="0" w:after="0" w:line="240" w:lineRule="exact"/>
        <w:ind w:left="630" w:leftChars="300"/>
        <w:jc w:val="both"/>
        <w:rPr>
          <w:rFonts w:ascii="仿宋" w:hAnsi="仿宋" w:eastAsia="仿宋"/>
          <w:sz w:val="28"/>
          <w:szCs w:val="28"/>
        </w:rPr>
      </w:pPr>
    </w:p>
    <w:p>
      <w:pPr>
        <w:pStyle w:val="19"/>
        <w:spacing w:before="0"/>
        <w:rPr>
          <w:rFonts w:ascii="仿宋" w:hAnsi="仿宋" w:eastAsia="仿宋"/>
          <w:sz w:val="28"/>
          <w:szCs w:val="28"/>
        </w:rPr>
      </w:pPr>
      <w:r>
        <w:rPr>
          <w:rFonts w:ascii="仿宋" w:hAnsi="仿宋" w:eastAsia="仿宋"/>
          <w:sz w:val="28"/>
          <w:szCs w:val="28"/>
        </w:rPr>
        <w:drawing>
          <wp:inline distT="0" distB="0" distL="0" distR="0">
            <wp:extent cx="2520315" cy="2305685"/>
            <wp:effectExtent l="0" t="0" r="0" b="0"/>
            <wp:docPr id="12" name="图片 16" descr="IMG_20210107_16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IMG_20210107_1643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315" cy="230568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504440" cy="2289810"/>
            <wp:effectExtent l="0" t="0" r="0" b="0"/>
            <wp:docPr id="13" name="图片 17" descr="IMG_20210107_16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0210107_164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04440" cy="2289810"/>
                    </a:xfrm>
                    <a:prstGeom prst="rect">
                      <a:avLst/>
                    </a:prstGeom>
                    <a:noFill/>
                    <a:ln>
                      <a:noFill/>
                    </a:ln>
                  </pic:spPr>
                </pic:pic>
              </a:graphicData>
            </a:graphic>
          </wp:inline>
        </w:drawing>
      </w:r>
    </w:p>
    <w:p>
      <w:pPr>
        <w:pStyle w:val="19"/>
        <w:spacing w:before="0"/>
        <w:ind w:firstLine="562" w:firstLineChars="200"/>
        <w:jc w:val="left"/>
        <w:rPr>
          <w:rFonts w:ascii="仿宋" w:hAnsi="仿宋" w:eastAsia="仿宋"/>
          <w:sz w:val="28"/>
          <w:szCs w:val="28"/>
        </w:rPr>
      </w:pPr>
      <w:r>
        <w:rPr>
          <w:rFonts w:hint="eastAsia" w:ascii="仿宋" w:hAnsi="仿宋" w:eastAsia="仿宋"/>
          <w:sz w:val="28"/>
          <w:szCs w:val="28"/>
        </w:rPr>
        <w:t>图11  （配套设备）                    图12  （定型模具）</w:t>
      </w:r>
    </w:p>
    <w:p>
      <w:pPr>
        <w:pStyle w:val="19"/>
        <w:spacing w:before="0"/>
        <w:rPr>
          <w:rFonts w:ascii="仿宋" w:hAnsi="仿宋" w:eastAsia="仿宋"/>
          <w:sz w:val="28"/>
          <w:szCs w:val="28"/>
        </w:rPr>
      </w:pPr>
      <w:r>
        <w:rPr>
          <w:rFonts w:ascii="仿宋" w:hAnsi="仿宋" w:eastAsia="仿宋"/>
          <w:sz w:val="28"/>
          <w:szCs w:val="28"/>
        </w:rPr>
        <w:drawing>
          <wp:inline distT="0" distB="0" distL="0" distR="0">
            <wp:extent cx="2528570" cy="2266315"/>
            <wp:effectExtent l="0" t="0" r="5080" b="635"/>
            <wp:docPr id="14" name="图片 18" descr="IMG_20210107_17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0210107_1706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8570" cy="226631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536190" cy="2258060"/>
            <wp:effectExtent l="0" t="0" r="0" b="8890"/>
            <wp:docPr id="15" name="图片 20" descr="IMG_20210107_17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IMG_20210107_1714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6190" cy="2258060"/>
                    </a:xfrm>
                    <a:prstGeom prst="rect">
                      <a:avLst/>
                    </a:prstGeom>
                    <a:noFill/>
                    <a:ln>
                      <a:noFill/>
                    </a:ln>
                  </pic:spPr>
                </pic:pic>
              </a:graphicData>
            </a:graphic>
          </wp:inline>
        </w:drawing>
      </w:r>
    </w:p>
    <w:p>
      <w:pPr>
        <w:pStyle w:val="19"/>
        <w:spacing w:before="0"/>
        <w:ind w:firstLine="482" w:firstLineChars="200"/>
        <w:jc w:val="left"/>
        <w:rPr>
          <w:rFonts w:ascii="仿宋" w:hAnsi="仿宋" w:eastAsia="仿宋"/>
          <w:sz w:val="28"/>
          <w:szCs w:val="28"/>
        </w:rPr>
      </w:pPr>
      <w:r>
        <w:rPr>
          <w:rFonts w:hint="eastAsia" w:ascii="仿宋" w:hAnsi="仿宋" w:eastAsia="仿宋"/>
          <w:spacing w:val="-20"/>
          <w:sz w:val="28"/>
          <w:szCs w:val="28"/>
        </w:rPr>
        <w:t>图13 （石油焦、沥青焦库房）</w:t>
      </w:r>
      <w:r>
        <w:rPr>
          <w:rFonts w:hint="eastAsia" w:ascii="仿宋" w:hAnsi="仿宋" w:eastAsia="仿宋"/>
          <w:sz w:val="28"/>
          <w:szCs w:val="28"/>
        </w:rPr>
        <w:t xml:space="preserve">               图14 （办公综合楼）</w:t>
      </w:r>
    </w:p>
    <w:p>
      <w:pPr>
        <w:ind w:firstLine="562" w:firstLineChars="200"/>
        <w:jc w:val="left"/>
        <w:rPr>
          <w:rFonts w:ascii="仿宋" w:hAnsi="仿宋" w:eastAsia="仿宋"/>
          <w:b/>
          <w:sz w:val="28"/>
          <w:szCs w:val="28"/>
        </w:rPr>
      </w:pPr>
      <w:r>
        <w:rPr>
          <w:rFonts w:hint="eastAsia" w:ascii="仿宋" w:hAnsi="仿宋" w:eastAsia="仿宋"/>
          <w:b/>
          <w:sz w:val="28"/>
          <w:szCs w:val="28"/>
        </w:rPr>
        <w:t>三、资产清单（房地产、机器设备）</w:t>
      </w:r>
    </w:p>
    <w:tbl>
      <w:tblPr>
        <w:tblStyle w:val="9"/>
        <w:tblW w:w="9369" w:type="dxa"/>
        <w:tblInd w:w="95" w:type="dxa"/>
        <w:tblLayout w:type="autofit"/>
        <w:tblCellMar>
          <w:top w:w="0" w:type="dxa"/>
          <w:left w:w="108" w:type="dxa"/>
          <w:bottom w:w="0" w:type="dxa"/>
          <w:right w:w="108" w:type="dxa"/>
        </w:tblCellMar>
      </w:tblPr>
      <w:tblGrid>
        <w:gridCol w:w="1053"/>
        <w:gridCol w:w="1053"/>
        <w:gridCol w:w="1056"/>
        <w:gridCol w:w="1053"/>
        <w:gridCol w:w="1056"/>
        <w:gridCol w:w="1053"/>
        <w:gridCol w:w="1012"/>
        <w:gridCol w:w="1466"/>
        <w:gridCol w:w="567"/>
      </w:tblGrid>
      <w:tr>
        <w:tblPrEx>
          <w:tblCellMar>
            <w:top w:w="0" w:type="dxa"/>
            <w:left w:w="108" w:type="dxa"/>
            <w:bottom w:w="0" w:type="dxa"/>
            <w:right w:w="108" w:type="dxa"/>
          </w:tblCellMar>
        </w:tblPrEx>
        <w:trPr>
          <w:trHeight w:val="194" w:hRule="atLeast"/>
        </w:trPr>
        <w:tc>
          <w:tcPr>
            <w:tcW w:w="9369" w:type="dxa"/>
            <w:gridSpan w:val="9"/>
            <w:tcBorders>
              <w:top w:val="nil"/>
              <w:left w:val="nil"/>
              <w:bottom w:val="nil"/>
              <w:right w:val="nil"/>
            </w:tcBorders>
            <w:shd w:val="clear" w:color="auto" w:fill="auto"/>
            <w:noWrap/>
            <w:vAlign w:val="center"/>
          </w:tcPr>
          <w:p>
            <w:pPr>
              <w:widowControl/>
              <w:jc w:val="center"/>
              <w:rPr>
                <w:rFonts w:ascii="宋体" w:hAnsi="宋体" w:cs="宋体"/>
                <w:b/>
                <w:bCs/>
                <w:kern w:val="0"/>
                <w:sz w:val="36"/>
                <w:szCs w:val="36"/>
              </w:rPr>
            </w:pPr>
            <w:r>
              <w:rPr>
                <w:rFonts w:hint="eastAsia" w:ascii="宋体" w:hAnsi="宋体" w:cs="宋体"/>
                <w:b/>
                <w:bCs/>
                <w:kern w:val="0"/>
                <w:sz w:val="36"/>
                <w:szCs w:val="36"/>
              </w:rPr>
              <w:t>房屋土地资产清单</w:t>
            </w:r>
          </w:p>
        </w:tc>
      </w:tr>
      <w:tr>
        <w:tblPrEx>
          <w:tblCellMar>
            <w:top w:w="0" w:type="dxa"/>
            <w:left w:w="108" w:type="dxa"/>
            <w:bottom w:w="0" w:type="dxa"/>
            <w:right w:w="108" w:type="dxa"/>
          </w:tblCellMar>
        </w:tblPrEx>
        <w:trPr>
          <w:trHeight w:val="124" w:hRule="atLeast"/>
        </w:trPr>
        <w:tc>
          <w:tcPr>
            <w:tcW w:w="9369" w:type="dxa"/>
            <w:gridSpan w:val="9"/>
            <w:tcBorders>
              <w:top w:val="nil"/>
              <w:left w:val="nil"/>
              <w:bottom w:val="nil"/>
              <w:right w:val="nil"/>
            </w:tcBorders>
            <w:shd w:val="clear" w:color="auto" w:fill="auto"/>
            <w:noWrap/>
            <w:vAlign w:val="center"/>
          </w:tcPr>
          <w:p>
            <w:pPr>
              <w:widowControl/>
              <w:jc w:val="right"/>
              <w:rPr>
                <w:rFonts w:ascii="仿宋" w:hAnsi="仿宋" w:eastAsia="仿宋" w:cs="宋体"/>
                <w:kern w:val="0"/>
                <w:szCs w:val="21"/>
              </w:rPr>
            </w:pPr>
            <w:r>
              <w:rPr>
                <w:rFonts w:hint="eastAsia" w:ascii="仿宋" w:hAnsi="仿宋" w:eastAsia="仿宋" w:cs="宋体"/>
                <w:kern w:val="0"/>
                <w:szCs w:val="21"/>
              </w:rPr>
              <w:t>来源：金源房评字[2020]第016号</w:t>
            </w:r>
          </w:p>
        </w:tc>
      </w:tr>
      <w:tr>
        <w:tblPrEx>
          <w:tblCellMar>
            <w:top w:w="0" w:type="dxa"/>
            <w:left w:w="108" w:type="dxa"/>
            <w:bottom w:w="0" w:type="dxa"/>
            <w:right w:w="108" w:type="dxa"/>
          </w:tblCellMar>
        </w:tblPrEx>
        <w:trPr>
          <w:trHeight w:val="221" w:hRule="atLeast"/>
        </w:trPr>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类型</w:t>
            </w:r>
          </w:p>
        </w:tc>
        <w:tc>
          <w:tcPr>
            <w:tcW w:w="10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0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房屋产权证号</w:t>
            </w:r>
          </w:p>
        </w:tc>
        <w:tc>
          <w:tcPr>
            <w:tcW w:w="10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地  址</w:t>
            </w:r>
          </w:p>
        </w:tc>
        <w:tc>
          <w:tcPr>
            <w:tcW w:w="10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用  途</w:t>
            </w:r>
          </w:p>
        </w:tc>
        <w:tc>
          <w:tcPr>
            <w:tcW w:w="10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总层数</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建筑物  名称</w:t>
            </w:r>
          </w:p>
        </w:tc>
        <w:tc>
          <w:tcPr>
            <w:tcW w:w="14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面积      （约㎡）</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备注</w:t>
            </w:r>
          </w:p>
        </w:tc>
      </w:tr>
      <w:tr>
        <w:tblPrEx>
          <w:tblCellMar>
            <w:top w:w="0" w:type="dxa"/>
            <w:left w:w="108" w:type="dxa"/>
            <w:bottom w:w="0" w:type="dxa"/>
            <w:right w:w="108" w:type="dxa"/>
          </w:tblCellMar>
        </w:tblPrEx>
        <w:trPr>
          <w:trHeight w:val="221" w:hRule="atLeast"/>
        </w:trPr>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建</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筑</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物</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广房权证城字第E0951号</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碳块焙烧车间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12271.35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碳块转运车间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9009.72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配电房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10KV     配电室</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296.7</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加压  泵房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223.94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10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广房权证城字第E0953号</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生阳极 制造</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1168.26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返回料 处理</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1465.48</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生阳极制造高楼部</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6294.91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气机房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1656.11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10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广房权证城字第E0955号</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仓  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沥青  仓库</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3898.43</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仓  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石油焦    仓库</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6948.25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综  合</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食堂与 浴室</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962.47</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12</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办公用房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综合楼</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1985.25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13</w:t>
            </w:r>
          </w:p>
        </w:tc>
        <w:tc>
          <w:tcPr>
            <w:tcW w:w="1056"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未办理</w:t>
            </w:r>
          </w:p>
        </w:tc>
        <w:tc>
          <w:tcPr>
            <w:tcW w:w="1053"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过磅房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过磅房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111.36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过磅房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15</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过磅房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29.25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16</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办公室    车棚</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办公室    车棚</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53.55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17</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办公室    车棚</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53.55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18</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办公室    车棚</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124.95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19</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门卫室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门卫室</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17.73</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车  棚</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车棚1</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45.51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21</w:t>
            </w:r>
          </w:p>
        </w:tc>
        <w:tc>
          <w:tcPr>
            <w:tcW w:w="1056"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nil"/>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水泵房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水泵房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92.46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22</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检修工段车间</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检修工段车间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857.25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建</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筑</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物</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23</w:t>
            </w:r>
          </w:p>
        </w:tc>
        <w:tc>
          <w:tcPr>
            <w:tcW w:w="105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未办理</w:t>
            </w:r>
          </w:p>
        </w:tc>
        <w:tc>
          <w:tcPr>
            <w:tcW w:w="10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检修工段车间</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233.68</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24</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余热发电中控室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w:t>
            </w:r>
          </w:p>
          <w:p>
            <w:pPr>
              <w:widowControl/>
              <w:jc w:val="center"/>
              <w:rPr>
                <w:rFonts w:ascii="仿宋" w:hAnsi="仿宋" w:eastAsia="仿宋" w:cs="宋体"/>
                <w:kern w:val="0"/>
                <w:szCs w:val="21"/>
              </w:rPr>
            </w:pPr>
            <w:r>
              <w:rPr>
                <w:rFonts w:hint="eastAsia" w:ascii="仿宋" w:hAnsi="仿宋" w:eastAsia="仿宋" w:cs="宋体"/>
                <w:kern w:val="0"/>
                <w:szCs w:val="21"/>
              </w:rPr>
              <w:t>发电</w:t>
            </w:r>
          </w:p>
          <w:p>
            <w:pPr>
              <w:widowControl/>
              <w:jc w:val="center"/>
              <w:rPr>
                <w:rFonts w:ascii="仿宋" w:hAnsi="仿宋" w:eastAsia="仿宋" w:cs="宋体"/>
                <w:kern w:val="0"/>
                <w:szCs w:val="21"/>
              </w:rPr>
            </w:pPr>
            <w:r>
              <w:rPr>
                <w:rFonts w:hint="eastAsia" w:ascii="仿宋" w:hAnsi="仿宋" w:eastAsia="仿宋" w:cs="宋体"/>
                <w:kern w:val="0"/>
                <w:szCs w:val="21"/>
              </w:rPr>
              <w:t>中控室</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246.51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25</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余热发电中控室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246.51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26</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余热发电中控室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246.51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27</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燃烧</w:t>
            </w:r>
          </w:p>
          <w:p>
            <w:pPr>
              <w:widowControl/>
              <w:jc w:val="center"/>
              <w:rPr>
                <w:rFonts w:ascii="仿宋" w:hAnsi="仿宋" w:eastAsia="仿宋" w:cs="宋体"/>
                <w:kern w:val="0"/>
                <w:szCs w:val="21"/>
              </w:rPr>
            </w:pPr>
            <w:r>
              <w:rPr>
                <w:rFonts w:hint="eastAsia" w:ascii="仿宋" w:hAnsi="仿宋" w:eastAsia="仿宋" w:cs="宋体"/>
                <w:kern w:val="0"/>
                <w:szCs w:val="21"/>
              </w:rPr>
              <w:t>中控室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燃烧</w:t>
            </w:r>
          </w:p>
          <w:p>
            <w:pPr>
              <w:widowControl/>
              <w:jc w:val="center"/>
              <w:rPr>
                <w:rFonts w:ascii="仿宋" w:hAnsi="仿宋" w:eastAsia="仿宋" w:cs="宋体"/>
                <w:kern w:val="0"/>
                <w:szCs w:val="21"/>
              </w:rPr>
            </w:pPr>
            <w:r>
              <w:rPr>
                <w:rFonts w:hint="eastAsia" w:ascii="仿宋" w:hAnsi="仿宋" w:eastAsia="仿宋" w:cs="宋体"/>
                <w:kern w:val="0"/>
                <w:szCs w:val="21"/>
              </w:rPr>
              <w:t>中控室</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419.12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28</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燃烧</w:t>
            </w:r>
          </w:p>
          <w:p>
            <w:pPr>
              <w:widowControl/>
              <w:jc w:val="center"/>
              <w:rPr>
                <w:rFonts w:ascii="仿宋" w:hAnsi="仿宋" w:eastAsia="仿宋" w:cs="宋体"/>
                <w:kern w:val="0"/>
                <w:szCs w:val="21"/>
              </w:rPr>
            </w:pPr>
            <w:r>
              <w:rPr>
                <w:rFonts w:hint="eastAsia" w:ascii="仿宋" w:hAnsi="仿宋" w:eastAsia="仿宋" w:cs="宋体"/>
                <w:kern w:val="0"/>
                <w:szCs w:val="21"/>
              </w:rPr>
              <w:t>中控室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178.92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29</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燃烧</w:t>
            </w:r>
          </w:p>
          <w:p>
            <w:pPr>
              <w:widowControl/>
              <w:jc w:val="center"/>
              <w:rPr>
                <w:rFonts w:ascii="仿宋" w:hAnsi="仿宋" w:eastAsia="仿宋" w:cs="宋体"/>
                <w:kern w:val="0"/>
                <w:szCs w:val="21"/>
              </w:rPr>
            </w:pPr>
            <w:r>
              <w:rPr>
                <w:rFonts w:hint="eastAsia" w:ascii="仿宋" w:hAnsi="仿宋" w:eastAsia="仿宋" w:cs="宋体"/>
                <w:kern w:val="0"/>
                <w:szCs w:val="21"/>
              </w:rPr>
              <w:t>中控室</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178.92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30</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天然气站</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天然气站</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52.58</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31</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煅前料仓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  料仓</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608.25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32</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煅前料仓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128.25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33</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煅前料仓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128.25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34</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煅前料仓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608.25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35</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煅前料仓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223.25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36</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煅前料仓</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223.25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37</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    循环水</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   循环水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36.46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38</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   检修班</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   检修班</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126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39</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热媒   供应站</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热媒   供应站</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283.65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40</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   循环水</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   循环水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238.36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41</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软水站</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软水站</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205.6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42</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软水站</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205.6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43</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软水站</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205.6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44</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余热发电循环水</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余热发电循环水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332.83</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45</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   循环水</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   循环水</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88.55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46</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   水泵</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余热发电水  泵房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33.39</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47</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彩钢房1</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39.69</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48</w:t>
            </w:r>
          </w:p>
        </w:tc>
        <w:tc>
          <w:tcPr>
            <w:tcW w:w="105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发电机  组房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发电机 组房 </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752.76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建</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筑</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物</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49</w:t>
            </w:r>
          </w:p>
        </w:tc>
        <w:tc>
          <w:tcPr>
            <w:tcW w:w="105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未办理</w:t>
            </w:r>
          </w:p>
        </w:tc>
        <w:tc>
          <w:tcPr>
            <w:tcW w:w="105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发电</w:t>
            </w:r>
          </w:p>
          <w:p>
            <w:pPr>
              <w:widowControl/>
              <w:jc w:val="center"/>
              <w:rPr>
                <w:rFonts w:ascii="仿宋" w:hAnsi="仿宋" w:eastAsia="仿宋" w:cs="宋体"/>
                <w:kern w:val="0"/>
                <w:szCs w:val="21"/>
              </w:rPr>
            </w:pPr>
            <w:r>
              <w:rPr>
                <w:rFonts w:hint="eastAsia" w:ascii="仿宋" w:hAnsi="仿宋" w:eastAsia="仿宋" w:cs="宋体"/>
                <w:kern w:val="0"/>
                <w:szCs w:val="21"/>
              </w:rPr>
              <w:t>机组房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752.76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50</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发电</w:t>
            </w:r>
          </w:p>
          <w:p>
            <w:pPr>
              <w:widowControl/>
              <w:jc w:val="center"/>
              <w:rPr>
                <w:rFonts w:ascii="仿宋" w:hAnsi="仿宋" w:eastAsia="仿宋" w:cs="宋体"/>
                <w:kern w:val="0"/>
                <w:szCs w:val="21"/>
              </w:rPr>
            </w:pPr>
            <w:r>
              <w:rPr>
                <w:rFonts w:hint="eastAsia" w:ascii="仿宋" w:hAnsi="仿宋" w:eastAsia="仿宋" w:cs="宋体"/>
                <w:kern w:val="0"/>
                <w:szCs w:val="21"/>
              </w:rPr>
              <w:t>机组房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208.08</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51</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煅烧后    输送楼</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423.8</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52</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135.2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53</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80.6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54</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80.6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55</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80.6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56</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80.6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57</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输送  平房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42.34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58</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彩钢房2</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28.86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59</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烟气净 化房</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49.64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221"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05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厂  房</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返回料    输料楼</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520.65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316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房屋建筑物合计</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60幢</w:t>
            </w:r>
          </w:p>
        </w:tc>
        <w:tc>
          <w:tcPr>
            <w:tcW w:w="1053" w:type="dxa"/>
            <w:tcBorders>
              <w:top w:val="nil"/>
              <w:left w:val="nil"/>
              <w:bottom w:val="single" w:color="auto" w:sz="4" w:space="0"/>
              <w:right w:val="single" w:color="auto" w:sz="4" w:space="0"/>
            </w:tcBorders>
            <w:shd w:val="clear" w:color="auto" w:fill="auto"/>
            <w:noWrap/>
            <w:vAlign w:val="center"/>
          </w:tcPr>
          <w:p>
            <w:pPr>
              <w:widowControl/>
              <w:jc w:val="left"/>
              <w:rPr>
                <w:rFonts w:ascii="Calibri" w:hAnsi="Calibri" w:cs="宋体"/>
                <w:kern w:val="0"/>
                <w:szCs w:val="21"/>
              </w:rPr>
            </w:pPr>
            <w:r>
              <w:rPr>
                <w:rFonts w:ascii="Calibri" w:hAnsi="Calibri" w:cs="宋体"/>
                <w:kern w:val="0"/>
                <w:szCs w:val="21"/>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56355.26㎡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r>
      <w:tr>
        <w:tblPrEx>
          <w:tblCellMar>
            <w:top w:w="0" w:type="dxa"/>
            <w:left w:w="108" w:type="dxa"/>
            <w:bottom w:w="0" w:type="dxa"/>
            <w:right w:w="108" w:type="dxa"/>
          </w:tblCellMar>
        </w:tblPrEx>
        <w:trPr>
          <w:trHeight w:val="124" w:hRule="atLeast"/>
        </w:trPr>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构</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筑</w:t>
            </w:r>
          </w:p>
          <w:p>
            <w:pPr>
              <w:widowControl/>
              <w:jc w:val="center"/>
              <w:rPr>
                <w:rFonts w:ascii="仿宋" w:hAnsi="仿宋" w:eastAsia="仿宋" w:cs="宋体"/>
                <w:b/>
                <w:bCs/>
                <w:kern w:val="0"/>
                <w:szCs w:val="21"/>
              </w:rPr>
            </w:pPr>
          </w:p>
          <w:p>
            <w:pPr>
              <w:widowControl/>
              <w:jc w:val="center"/>
              <w:rPr>
                <w:rFonts w:ascii="仿宋" w:hAnsi="仿宋" w:eastAsia="仿宋" w:cs="宋体"/>
                <w:b/>
                <w:bCs/>
                <w:kern w:val="0"/>
                <w:szCs w:val="21"/>
              </w:rPr>
            </w:pPr>
            <w:r>
              <w:rPr>
                <w:rFonts w:hint="eastAsia" w:ascii="仿宋" w:hAnsi="仿宋" w:eastAsia="仿宋" w:cs="宋体"/>
                <w:b/>
                <w:bCs/>
                <w:kern w:val="0"/>
                <w:szCs w:val="21"/>
              </w:rPr>
              <w:t>物</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61</w:t>
            </w:r>
          </w:p>
        </w:tc>
        <w:tc>
          <w:tcPr>
            <w:tcW w:w="10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未办理</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煅后料仓</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煅后  料仓</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62</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煅后料仓</w:t>
            </w: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63</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煅后料仓</w:t>
            </w: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64</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筒  仓</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筒  仓</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65</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筒  仓</w:t>
            </w: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66</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筒  仓</w:t>
            </w: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67</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烟  囱</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01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烟  囱</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Cs w:val="21"/>
              </w:rPr>
            </w:pP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68</w:t>
            </w: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烟  囱</w:t>
            </w:r>
          </w:p>
        </w:tc>
        <w:tc>
          <w:tcPr>
            <w:tcW w:w="105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01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1个</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316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构筑物合计</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8个</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r>
      <w:tr>
        <w:tblPrEx>
          <w:tblCellMar>
            <w:top w:w="0" w:type="dxa"/>
            <w:left w:w="108" w:type="dxa"/>
            <w:bottom w:w="0" w:type="dxa"/>
            <w:right w:w="108" w:type="dxa"/>
          </w:tblCellMar>
        </w:tblPrEx>
        <w:trPr>
          <w:trHeight w:val="441" w:hRule="atLeast"/>
        </w:trPr>
        <w:tc>
          <w:tcPr>
            <w:tcW w:w="10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土  地</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69</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广国用（2003）字第2922号</w:t>
            </w:r>
          </w:p>
        </w:tc>
        <w:tc>
          <w:tcPr>
            <w:tcW w:w="10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广元市袁家坝工业</w:t>
            </w:r>
          </w:p>
          <w:p>
            <w:pPr>
              <w:widowControl/>
              <w:jc w:val="center"/>
              <w:rPr>
                <w:rFonts w:ascii="仿宋" w:hAnsi="仿宋" w:eastAsia="仿宋" w:cs="宋体"/>
                <w:kern w:val="0"/>
                <w:szCs w:val="21"/>
              </w:rPr>
            </w:pPr>
            <w:r>
              <w:rPr>
                <w:rFonts w:hint="eastAsia" w:ascii="仿宋" w:hAnsi="仿宋" w:eastAsia="仿宋" w:cs="宋体"/>
                <w:kern w:val="0"/>
                <w:szCs w:val="21"/>
              </w:rPr>
              <w:t>园区</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工业用地</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4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167245.82㎡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124" w:hRule="atLeast"/>
        </w:trPr>
        <w:tc>
          <w:tcPr>
            <w:tcW w:w="10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316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土地使用权合计</w:t>
            </w:r>
          </w:p>
        </w:tc>
        <w:tc>
          <w:tcPr>
            <w:tcW w:w="105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kern w:val="0"/>
                <w:szCs w:val="21"/>
              </w:rPr>
            </w:pPr>
            <w:r>
              <w:rPr>
                <w:rFonts w:hint="eastAsia" w:ascii="仿宋" w:hAnsi="仿宋" w:eastAsia="仿宋" w:cs="宋体"/>
                <w:b/>
                <w:bCs/>
                <w:kern w:val="0"/>
                <w:szCs w:val="21"/>
              </w:rPr>
              <w:t>　</w:t>
            </w:r>
          </w:p>
        </w:tc>
        <w:tc>
          <w:tcPr>
            <w:tcW w:w="105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4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167245.82㎡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sectPr>
          <w:headerReference r:id="rId3" w:type="default"/>
          <w:footerReference r:id="rId5" w:type="default"/>
          <w:headerReference r:id="rId4" w:type="even"/>
          <w:footerReference r:id="rId6" w:type="even"/>
          <w:pgSz w:w="11906" w:h="16838"/>
          <w:pgMar w:top="1134" w:right="1077" w:bottom="1134" w:left="1304" w:header="851" w:footer="992" w:gutter="0"/>
          <w:pgNumType w:start="0"/>
          <w:cols w:space="720" w:num="1"/>
          <w:titlePg/>
          <w:docGrid w:type="lines" w:linePitch="312" w:charSpace="0"/>
        </w:sectPr>
      </w:pPr>
    </w:p>
    <w:tbl>
      <w:tblPr>
        <w:tblStyle w:val="9"/>
        <w:tblW w:w="14478" w:type="dxa"/>
        <w:tblInd w:w="89" w:type="dxa"/>
        <w:tblLayout w:type="autofit"/>
        <w:tblCellMar>
          <w:top w:w="0" w:type="dxa"/>
          <w:left w:w="108" w:type="dxa"/>
          <w:bottom w:w="0" w:type="dxa"/>
          <w:right w:w="108" w:type="dxa"/>
        </w:tblCellMar>
      </w:tblPr>
      <w:tblGrid>
        <w:gridCol w:w="818"/>
        <w:gridCol w:w="1538"/>
        <w:gridCol w:w="3126"/>
        <w:gridCol w:w="2240"/>
        <w:gridCol w:w="806"/>
        <w:gridCol w:w="787"/>
        <w:gridCol w:w="1161"/>
        <w:gridCol w:w="1161"/>
        <w:gridCol w:w="1731"/>
        <w:gridCol w:w="1110"/>
      </w:tblGrid>
      <w:tr>
        <w:tblPrEx>
          <w:tblCellMar>
            <w:top w:w="0" w:type="dxa"/>
            <w:left w:w="108" w:type="dxa"/>
            <w:bottom w:w="0" w:type="dxa"/>
            <w:right w:w="108" w:type="dxa"/>
          </w:tblCellMar>
        </w:tblPrEx>
        <w:trPr>
          <w:trHeight w:val="930" w:hRule="atLeast"/>
        </w:trPr>
        <w:tc>
          <w:tcPr>
            <w:tcW w:w="14478" w:type="dxa"/>
            <w:gridSpan w:val="10"/>
            <w:tcBorders>
              <w:top w:val="nil"/>
              <w:left w:val="nil"/>
              <w:bottom w:val="nil"/>
              <w:right w:val="nil"/>
            </w:tcBorders>
            <w:shd w:val="clear" w:color="auto" w:fill="auto"/>
            <w:noWrap/>
            <w:vAlign w:val="center"/>
          </w:tcPr>
          <w:p>
            <w:pPr>
              <w:widowControl/>
              <w:spacing w:line="240" w:lineRule="exact"/>
              <w:jc w:val="center"/>
              <w:rPr>
                <w:rFonts w:ascii="宋体" w:hAnsi="宋体" w:cs="宋体"/>
                <w:b/>
                <w:bCs/>
                <w:kern w:val="0"/>
                <w:sz w:val="36"/>
                <w:szCs w:val="36"/>
              </w:rPr>
            </w:pPr>
          </w:p>
          <w:p>
            <w:pPr>
              <w:widowControl/>
              <w:jc w:val="center"/>
              <w:rPr>
                <w:rFonts w:ascii="宋体" w:hAnsi="宋体" w:cs="宋体"/>
                <w:b/>
                <w:bCs/>
                <w:kern w:val="0"/>
                <w:sz w:val="36"/>
                <w:szCs w:val="36"/>
              </w:rPr>
            </w:pPr>
            <w:r>
              <w:rPr>
                <w:rFonts w:hint="eastAsia" w:ascii="宋体" w:hAnsi="宋体" w:cs="宋体"/>
                <w:b/>
                <w:bCs/>
                <w:kern w:val="0"/>
                <w:sz w:val="36"/>
                <w:szCs w:val="36"/>
              </w:rPr>
              <w:t>固定资产—机器设备清单</w:t>
            </w:r>
          </w:p>
        </w:tc>
      </w:tr>
      <w:tr>
        <w:tblPrEx>
          <w:tblCellMar>
            <w:top w:w="0" w:type="dxa"/>
            <w:left w:w="108" w:type="dxa"/>
            <w:bottom w:w="0" w:type="dxa"/>
            <w:right w:w="108" w:type="dxa"/>
          </w:tblCellMar>
        </w:tblPrEx>
        <w:trPr>
          <w:trHeight w:val="285" w:hRule="atLeast"/>
        </w:trPr>
        <w:tc>
          <w:tcPr>
            <w:tcW w:w="14478" w:type="dxa"/>
            <w:gridSpan w:val="10"/>
            <w:tcBorders>
              <w:top w:val="nil"/>
              <w:left w:val="nil"/>
              <w:bottom w:val="nil"/>
              <w:right w:val="nil"/>
            </w:tcBorders>
            <w:shd w:val="clear" w:color="auto" w:fill="auto"/>
            <w:noWrap/>
            <w:vAlign w:val="center"/>
          </w:tcPr>
          <w:p>
            <w:pPr>
              <w:widowControl/>
              <w:jc w:val="right"/>
              <w:rPr>
                <w:rFonts w:ascii="仿宋" w:hAnsi="仿宋" w:eastAsia="仿宋" w:cs="宋体"/>
                <w:kern w:val="0"/>
                <w:szCs w:val="21"/>
              </w:rPr>
            </w:pPr>
            <w:r>
              <w:rPr>
                <w:rFonts w:hint="eastAsia" w:ascii="仿宋" w:hAnsi="仿宋" w:eastAsia="仿宋" w:cs="宋体"/>
                <w:kern w:val="0"/>
                <w:szCs w:val="21"/>
              </w:rPr>
              <w:t>来源：川国通资评报字[2021]第0103号</w:t>
            </w:r>
          </w:p>
        </w:tc>
      </w:tr>
      <w:tr>
        <w:tblPrEx>
          <w:tblCellMar>
            <w:top w:w="0" w:type="dxa"/>
            <w:left w:w="108" w:type="dxa"/>
            <w:bottom w:w="0" w:type="dxa"/>
            <w:right w:w="108" w:type="dxa"/>
          </w:tblCellMar>
        </w:tblPrEx>
        <w:trPr>
          <w:trHeight w:val="615"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5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设备编号</w:t>
            </w:r>
          </w:p>
        </w:tc>
        <w:tc>
          <w:tcPr>
            <w:tcW w:w="3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设备名称</w:t>
            </w:r>
          </w:p>
        </w:tc>
        <w:tc>
          <w:tcPr>
            <w:tcW w:w="22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规格型号</w:t>
            </w:r>
          </w:p>
        </w:tc>
        <w:tc>
          <w:tcPr>
            <w:tcW w:w="8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计量 单位</w:t>
            </w:r>
          </w:p>
        </w:tc>
        <w:tc>
          <w:tcPr>
            <w:tcW w:w="7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购置日期</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启用日期</w:t>
            </w:r>
          </w:p>
        </w:tc>
        <w:tc>
          <w:tcPr>
            <w:tcW w:w="17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存放地点</w:t>
            </w:r>
          </w:p>
        </w:tc>
        <w:tc>
          <w:tcPr>
            <w:tcW w:w="11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备注</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0203-DQ-0005</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0203-DQ-0006</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0203-DQ-0007</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0203-DQ-0008</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0203-DQ-0009</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0203-DQ-0010</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0203-DQ-0011</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XWEDY5.5-85-187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0203-DQ-0012</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XWEDY5.5-85-187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0203-DQ-0013</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XWEDY5.5-85-187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0203-DQ-0014</w:t>
            </w:r>
          </w:p>
        </w:tc>
        <w:tc>
          <w:tcPr>
            <w:tcW w:w="312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XWEDY5.5-85-187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0203-DQ-0016</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焙烧炉燃烧装置及控制软件</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0203-DQ-0018</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焙烧炉燃烧装置及控制系统</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0203-DQ-0019</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焙烧工段电视监视及微机系统</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0203-DQ-0020</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通讯卡</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1784-PXTX</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0203-DQ-0026</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0203-DQ-0028</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0203-DQ-0029</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0203-DQ-0030</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SP-1600KVA</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0203-DQ-0036</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0202-JX-0006</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0202-JX-0008</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0202-JX-0009</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0202-JX-0010</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阳极堆垛天车</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3B110</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阳极堆垛天车</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3B110</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多功能天车</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吊钩桥式起重机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Q5T-19.5M.5-17M</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部分改造</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0202-JX-0016</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吊钩桥式起重机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Q5T-19.5M.5-17M</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部分改造</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TD250*10.49</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0202-JX-0018</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HXYF-7型</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0202-JX-0019</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No112D</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0202-JX-0020</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15.4M/H</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消防栓</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电动葫芦双梁起重机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LH5T-33.5M</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星型卸料阀</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GLF-C  200*200</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地面编组清理机组</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D373-16C-250</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0202-JX-0028</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电动单梁桥式起重机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LD2T</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XWEDY11-106-187</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电机变阻器</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0203-DQ-0038</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0203-DQ-0039</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0203-DQ-0040</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焙烧烟气净化系统</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XL-21-08</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0204-YB-0003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焙烧自动化系统</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0205-ZB-0001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焙烧炉</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0205-ZB-0002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阳极焙烧非标设备</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套</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0207-BG-0001</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联想扬天电脑</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A6000  17L</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KFR-32GW/DY-GA</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KFR-32GW/DY-GA</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0207-BG-0002</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显示器</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美格  19L标屏</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0207-BG-0003</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显示器</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美格  19L标屏</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0207-BG-0004</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工控机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IPC610</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0207-BG-0005</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工控机</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IPC610</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0203-DQ-0046</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KFR-72LW/DY-Y</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8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0203-DQ-0047</w:t>
            </w:r>
          </w:p>
        </w:tc>
        <w:tc>
          <w:tcPr>
            <w:tcW w:w="312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KFR-72W/DY-Y</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trPr>
        <w:tc>
          <w:tcPr>
            <w:tcW w:w="548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合计</w:t>
            </w:r>
          </w:p>
        </w:tc>
        <w:tc>
          <w:tcPr>
            <w:tcW w:w="224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kern w:val="0"/>
                <w:szCs w:val="21"/>
              </w:rPr>
            </w:pPr>
            <w:r>
              <w:rPr>
                <w:rFonts w:hint="eastAsia" w:ascii="仿宋" w:hAnsi="仿宋" w:eastAsia="仿宋" w:cs="宋体"/>
                <w:b/>
                <w:bCs/>
                <w:kern w:val="0"/>
                <w:szCs w:val="21"/>
              </w:rPr>
              <w:t>　</w:t>
            </w:r>
          </w:p>
        </w:tc>
        <w:tc>
          <w:tcPr>
            <w:tcW w:w="80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78</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7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tbl>
      <w:tblPr>
        <w:tblStyle w:val="9"/>
        <w:tblW w:w="14144" w:type="dxa"/>
        <w:jc w:val="center"/>
        <w:tblLayout w:type="autofit"/>
        <w:tblCellMar>
          <w:top w:w="0" w:type="dxa"/>
          <w:left w:w="108" w:type="dxa"/>
          <w:bottom w:w="0" w:type="dxa"/>
          <w:right w:w="108" w:type="dxa"/>
        </w:tblCellMar>
      </w:tblPr>
      <w:tblGrid>
        <w:gridCol w:w="636"/>
        <w:gridCol w:w="1540"/>
        <w:gridCol w:w="2700"/>
        <w:gridCol w:w="2316"/>
        <w:gridCol w:w="640"/>
        <w:gridCol w:w="900"/>
        <w:gridCol w:w="1266"/>
        <w:gridCol w:w="1266"/>
        <w:gridCol w:w="1800"/>
        <w:gridCol w:w="1080"/>
      </w:tblGrid>
      <w:tr>
        <w:tblPrEx>
          <w:tblCellMar>
            <w:top w:w="0" w:type="dxa"/>
            <w:left w:w="108" w:type="dxa"/>
            <w:bottom w:w="0" w:type="dxa"/>
            <w:right w:w="108" w:type="dxa"/>
          </w:tblCellMar>
        </w:tblPrEx>
        <w:trPr>
          <w:trHeight w:val="795" w:hRule="atLeast"/>
          <w:jc w:val="center"/>
        </w:trPr>
        <w:tc>
          <w:tcPr>
            <w:tcW w:w="14144" w:type="dxa"/>
            <w:gridSpan w:val="10"/>
            <w:tcBorders>
              <w:top w:val="nil"/>
              <w:left w:val="nil"/>
              <w:bottom w:val="nil"/>
              <w:right w:val="nil"/>
            </w:tcBorders>
            <w:shd w:val="clear" w:color="auto" w:fill="auto"/>
            <w:noWrap/>
            <w:vAlign w:val="center"/>
          </w:tcPr>
          <w:p>
            <w:pPr>
              <w:widowControl/>
              <w:jc w:val="center"/>
              <w:rPr>
                <w:rFonts w:ascii="宋体" w:hAnsi="宋体" w:cs="宋体"/>
                <w:b/>
                <w:bCs/>
                <w:kern w:val="0"/>
                <w:sz w:val="36"/>
                <w:szCs w:val="36"/>
              </w:rPr>
            </w:pPr>
            <w:r>
              <w:rPr>
                <w:rFonts w:hint="eastAsia" w:ascii="宋体" w:hAnsi="宋体" w:cs="宋体"/>
                <w:b/>
                <w:bCs/>
                <w:kern w:val="0"/>
                <w:sz w:val="36"/>
                <w:szCs w:val="36"/>
              </w:rPr>
              <w:t>固定资产—机器设备清单（阳极生产线）</w:t>
            </w:r>
          </w:p>
        </w:tc>
      </w:tr>
      <w:tr>
        <w:tblPrEx>
          <w:tblCellMar>
            <w:top w:w="0" w:type="dxa"/>
            <w:left w:w="108" w:type="dxa"/>
            <w:bottom w:w="0" w:type="dxa"/>
            <w:right w:w="108" w:type="dxa"/>
          </w:tblCellMar>
        </w:tblPrEx>
        <w:trPr>
          <w:trHeight w:val="285" w:hRule="atLeast"/>
          <w:jc w:val="center"/>
        </w:trPr>
        <w:tc>
          <w:tcPr>
            <w:tcW w:w="14144" w:type="dxa"/>
            <w:gridSpan w:val="10"/>
            <w:tcBorders>
              <w:top w:val="nil"/>
              <w:left w:val="nil"/>
              <w:bottom w:val="nil"/>
              <w:right w:val="nil"/>
            </w:tcBorders>
            <w:shd w:val="clear" w:color="auto" w:fill="auto"/>
            <w:noWrap/>
            <w:vAlign w:val="center"/>
          </w:tcPr>
          <w:p>
            <w:pPr>
              <w:widowControl/>
              <w:jc w:val="right"/>
              <w:rPr>
                <w:rFonts w:ascii="仿宋" w:hAnsi="仿宋" w:eastAsia="仿宋" w:cs="宋体"/>
                <w:kern w:val="0"/>
                <w:szCs w:val="21"/>
              </w:rPr>
            </w:pPr>
            <w:r>
              <w:rPr>
                <w:rFonts w:hint="eastAsia" w:ascii="仿宋" w:hAnsi="仿宋" w:eastAsia="仿宋" w:cs="宋体"/>
                <w:kern w:val="0"/>
                <w:szCs w:val="21"/>
              </w:rPr>
              <w:t>来源：川国通资评报字[2021]第0104号</w:t>
            </w:r>
          </w:p>
        </w:tc>
      </w:tr>
      <w:tr>
        <w:tblPrEx>
          <w:tblCellMar>
            <w:top w:w="0" w:type="dxa"/>
            <w:left w:w="108" w:type="dxa"/>
            <w:bottom w:w="0" w:type="dxa"/>
            <w:right w:w="108" w:type="dxa"/>
          </w:tblCellMar>
        </w:tblPrEx>
        <w:trPr>
          <w:trHeight w:val="51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5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设备编号</w:t>
            </w:r>
          </w:p>
        </w:tc>
        <w:tc>
          <w:tcPr>
            <w:tcW w:w="2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设备名称</w:t>
            </w:r>
          </w:p>
        </w:tc>
        <w:tc>
          <w:tcPr>
            <w:tcW w:w="23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规格型号</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计量  单位</w:t>
            </w:r>
          </w:p>
        </w:tc>
        <w:tc>
          <w:tcPr>
            <w:tcW w:w="9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12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购置日期</w:t>
            </w:r>
          </w:p>
        </w:tc>
        <w:tc>
          <w:tcPr>
            <w:tcW w:w="12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启用日期</w:t>
            </w:r>
          </w:p>
        </w:tc>
        <w:tc>
          <w:tcPr>
            <w:tcW w:w="18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存放地点</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备注</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0202-JX-0001</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T0400*34.84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0202-JX-0002</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T0400*34.84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HXTE-S</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消防栓一批</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F-5-A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DN170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DN170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双轮辊破碎机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双轮辊破碎机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振动筛</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ZZS500-180ZF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振动筛</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ZZS500-180ZF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抓斗式桥式起重机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QZ5T-28 5M-16M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抓斗式桥式起重机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QZ5T-28 5M-16M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电液动三通分料器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DFSF-40B45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电液动三通分料器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DFSF-40B45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NO5A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NO5A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NO6.3C 22KW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TD315*2.543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TD315*2.543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TD315*27.043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TD315*27.043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排灰阀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YJD-6#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GHMA-5-2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胶带定量给料机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MIBS-L650*2445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胶带定量给料机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MIBS-L650*2445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笼式调节阀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笼式调节阀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DN125 PNO.6MPa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DN125 PNO.6MPa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D371F-10P DN300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D371F-10P DN300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固定式卸料小车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B650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消防栓一批</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9-19-8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9-19-9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5.5KW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5.5KW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5.5KW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Q41F-16P-125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Q41F-16P-125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Q41F-16P-125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Q41F-16P-125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Q41F-16P-150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喷嘴</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HTP-2-500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喷嘴</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HTP-2-500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金属软管</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·125*600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金属软管</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·125*600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TD315*16.543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4-68N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HXYF-3型</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抓斗式桥式起重机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QZ5T-28 5M-16M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TD315*19.04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0202-JX-0099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TD315*19.04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GHMB-6-2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GHMB-6-2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NO5A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NO5A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No4.5D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7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No4.5D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凸轮调节器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DN40 ANS1151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自力调节阀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DN80 PN1.6MPa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自力调节阀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DN80 PN1.6MPa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胶带定量给料机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MIBS-L650*4960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胶带定量给料机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MIBS-L650*4960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沥青手动阀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沥青手动阀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沥青手动阀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167PJ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沥青手动阀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167PJ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沥青手动阀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热煤油手动调节阀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129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热煤油手动调节阀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9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139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149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127H/G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127H/G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127H/G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手动两通 旋塞阀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127H/G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159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LQ224A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NO4.5A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NO5A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NO8D 30KW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169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GHMB-6-3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GHMB-6-2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TD315*34.043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TD315*34.043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胶带运输机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胶带运输机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胶带运输机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179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4-68右180,4KW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抓斗式吊沟桥式起重机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CN5T-19.5M-16M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DN125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普通型多功能水力控制阀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普通型多功能水力控制阀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普通型多功能水力控制阀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普通型多功能水力控制阀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GBTS-581 L=17M H=80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TD750 B6550*3358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TD750 B6550*6993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189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TD750 B6550*21466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TD750 B6550*11264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浮料输送机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TD75 B800*18950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胶带输送机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TD75 B650*7035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LS400*7.5M=S</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0202-JX-0199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LS400*7.5M=S</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LS400*10.5M*47.5-X3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辊式输送机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GBT2-111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双向链式输送机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GBTS812 740*200*800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GBTS580 740*1700*800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199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GBTS809 450*47084*800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GBTS580 450*47084*800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GBTS808 450*47084*800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LS315*12M853-M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集合螺旋</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LS500812.5*40-X4-M1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堵料螺旋</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Q=30T/HL=1800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DW182流量开关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DW182流量开关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No12.5D 45KW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5.5KW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NO4A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NO5A 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NO8D 30KW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No14D 75KW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219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No4D 4KW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TD400*28.42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TD400*28.42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TD400*33.52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TD400*33.52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电动平板小车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10T</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电动平板小车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10T</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Φ2040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Φ2040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229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SGET/1500*4-F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内径2040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内径2040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239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249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SDFT2.5/1500*4-F</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GX300*3M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259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GX300*3.5M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GX300*9.5M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GHMA-7-2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269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GHMA-5-7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GHMA-5-5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GHMA-5-4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GHMA-5-8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预除尘器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GYCC-7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J41H-25-150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J41H-25-150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低噪声防爆风机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BDW-87-3.55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低噪声防爆风机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BDW-87-3.55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低噪声防爆风机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BDW-87-3.55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279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低噪声防爆风机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BDW-87-3.55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DMC-24B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堵料螺旋</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F-7-A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F-7-A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F-5-A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F-9-A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反击式破碎机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1000*1050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环锤式破碎机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环锤式破碎机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289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电动双梁桥式起重机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QD10T</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储气罐</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0.88MPA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悬挂式输送机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SLW100-160B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SLW100-160B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0202-JX-0299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SLW100-200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SLW100-200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手动对夹式蝶阀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GDTD· 420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F-7-A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F-7-A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299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进口设备</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轻便式滤油加油机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GL-30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轻便式滤油加油机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GL-30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移动式空气压缩机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0.8MPa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309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链式板式输送机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阳极堆垛天车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3B110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多功能天车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提升机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TD250*10.49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脉冲袋式除尘器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HXYF-7型</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No112D</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319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吊钩桥式起重机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Q5T-19.5M.5-17M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部分改造</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螺旋输送机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15.4M/H</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地面编组清理机组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汽轮机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N3-2.35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汽轮机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N3-2.35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BFDS101X-1062DN400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BFDS101X-1062DN400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BFDS101X-1062DN400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BFDS101X-1062DN400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BFDS101X-1062DN400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329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D343H-10CDN500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D343H-10CDN800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D343H-10CDN450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D343H-10CDN450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D343H-10CDN450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339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D343H-10CDN450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蝶阀三偏心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D343H-10CDN450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汽轮发电机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3000KW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汽轮发电机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3000KW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齿轮油泵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电动单梁桥式起重机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LX2T-5M-7.5M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电动桥式起重机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LH5T-16.5M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蒸汽往复泵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ZQS-14/4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方形非金属膨胀节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3800*2700法兰连接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方形非金属膨胀节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3800*2700法兰连接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349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Q3220焊接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Q3220焊接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Q3220法兰焊接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Q3220法兰焊接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Q2220补偿量-20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Q2220补偿量-20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Q2220补偿量-70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Q2220补偿量-70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Q2220补偿量-50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圆形非金属膨胀节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Q2220补偿量-50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359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方形非金属膨胀节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3800*1300法兰连接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方形非金属膨胀节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3800*1300法兰连接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方形非金属膨胀节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3800*1300法兰连接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方形非金属膨胀节</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3800*1300法兰连接</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0202-JX-0399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汽轮机透平油专用滤油机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TL-50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高温平衡器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J941-40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J941-40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J941-40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J941-40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369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法兰截止阀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J41-40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法兰截止阀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J41-40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法兰截止阀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J41-40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法兰截止阀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J41-40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中速过滤器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FHMF-140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中速过滤器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FHMF-140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引风机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YS-36-24D</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引风机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YS-36-24D</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排气消声器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TB-20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排气消声器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TB-20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379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余热锅炉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QC57/1000-22-2.45/40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余热锅炉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QC57/1000-22-2.45/40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高温平衡器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KP01P-S P3220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高温平衡器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KP01P-S P3220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高温平衡器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KP01P-S P3220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高温平衡器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KP01P-S P3220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复合旋风除尘器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复合旋风除尘器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锅炉配套设施</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循环水Y型过滤器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389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循环水Y型过滤器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循环水Y型过滤器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循环水Y型过滤器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循环水Y型过滤器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循环水Y型过滤器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300S588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300S588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300S588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300S588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300S588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399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全自动软水管</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A172T-900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D343H-16CDN25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409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152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152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152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152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152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152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旋启式止回阀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159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旋启式止回阀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159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旋启式止回阀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160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旋启式止回阀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160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419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旋启式止回阀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160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手动截止阀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151 DN125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XMA8620W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XMA8620W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凸轮调节阀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DN150ANDS1150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429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截止阀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RTJ-1.6C DN15D</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三维偏心蝶阀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D373X-10CDN350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普通多功能水利控制阀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JD745X4C 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439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SLW150-400A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潜水排污泵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50WQ10-10-0.75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消防主泵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100DL-20*2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449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消防主泵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100DL-20*2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补水泵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玻璃钢喷雾冷却塔</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YPT-250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玻璃钢喷雾冷却塔</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YPT-250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GNL3-B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GNL3-B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DG25-50*8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0202-JX-0499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DG25-50*8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DG25-50*8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IS50-32-200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459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IS50-32-200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水力控制阀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SJ101X-10.DN200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未见实物</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水力控制阀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SJ101X-10.DN200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未见实物</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深井潜水泵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250QJ125-64/4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深井潜水泵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250QJ125-64/4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电动单梁起重机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LDBT-100SM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蝶式缓闭止回阀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液压传感浮球阀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三维偏心蝶阀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三维偏心蝶阀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469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铸钢鄂式破碎机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EP-100X60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密封化验制样粉碎机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F97-2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标准振筛机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ZTS-7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标准振筛机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ZTS-7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标准振筛机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ZTS-7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单机除尘机组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PL-2200/A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单机除尘机组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PL-2200/A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单机除尘机组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PL-2200/A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低速离心机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TDL-40B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双重蒸馏器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SZ-93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479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双重蒸馏器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SZ-93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卧式车床</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C61D2A/750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卧式车床</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C61D2A/750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489</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492</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493</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494</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495</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DN350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496</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三位偏心蝶阀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D373-16C-250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498</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闸阀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DN250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499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CF-60L</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RCDD-8A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电动葫芦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CD1T*9M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3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5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579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589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0203-DQ-0099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599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800NM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800NM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800NM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800NM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4000NM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4000NM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智能数字显示器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RCDD-8A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RCDD-8A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RCDD-8A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RCDD-8A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电动葫芦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CD 2T*12M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SP-1600KVA.10KV</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SP-1600KVA.10KV</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冷却机烟气净化系统</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679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冷却机烟气净化系统</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电磁振动给料机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689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直流配电箱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直流配电箱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电动沥青三通阀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0337AXPJ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0203-DQ-0199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电动沥青三通阀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0337AXPJ DN80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电动沥青三通阀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0337AXPJ DN15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RCDD-6A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电动葫芦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CD2t*18M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699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电动葫芦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CD2t*18M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电磁振动给料机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电液动三通分料器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DFDF-40B45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电液动三通分料器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DFDF-40B45 2508250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电液动三通分料器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DFDF-40B45 2508250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RCDD-6A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卸铁电磁除铁器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RCDD-6A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PLC柜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变频器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ATV-58HD16N4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生阳极辅助系统</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PLC柜3台+模拟控制柜</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电捕焦油器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电捕焦油器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电动葫芦</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CD10T*50M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SP-1600KVA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SP-1600KVA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电磁振动给料机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软起动柜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软起动柜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申克配电箱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微机闪光报警器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XXS-32E</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微机闪光报警器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XXS-32E</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不间断电源</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220VAC</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电源装置</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QUINT--</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微机闪光报警器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XXS-32E</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微机闪光报警器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XXS-32E</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KG321 2200*800*600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KG321 2200*800*600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柜式仪表盘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KG-221后开门</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柜式仪表盘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KG-221后开门</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柜式仪表盘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KG-221后开门</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控制模拟屏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控制模拟屏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控制模拟屏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控制模拟屏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控制模拟屏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控制模拟屏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变频器柜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ARM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PLC柜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ARM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PLC柜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ARM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PLC柜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ARM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PLC柜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ARM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DSF850*1230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DSF850*1230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密闭式电液三通换向阀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DSF-30Fx5 300*300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20"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电液三通换向阀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DSF-30Fx5 300*300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779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789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0203-DQ-0299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电气控制柜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交流稳压器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TNS-25 25KvA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交流稳压器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TNS-25 25KvA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799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XWEDY5.5-106-187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XWEDY5.5-85-187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减速机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XWEDY5.5-85-187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焙烧炉燃烧装置及控制系统</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SP-1600KVA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滑触线</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真空断路器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ZW8-12/630-20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真空断路器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ZW8-12/630-20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真空断路器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ZW8-12/630-20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电力变压器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S9-1250/10-04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集线器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DISA-COM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0203-DQ-0399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GZSI-10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高压无功补偿器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高压无功补偿器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抵押抽屉开关柜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MNS</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10kv开关柜保护装置</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879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889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899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0203-DQ-0499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单挑工艺路灯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979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D941H-10CDN400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D941H-10CDN400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D941H-10CDN400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D941H-10CDN400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电动蝶阀</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D941H-10CDN400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余热锅炉仪表控制盘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余热锅炉仪表控制盘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高压电极</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高压电极</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315KW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989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PSL208-PSAP4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PSL208-PSAP4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PSL208-PSAP4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电动执行机构</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PSL208-PSAP4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GG-1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GG-1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GG-1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GG-1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999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GZS1-10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三相三线全电子多功能表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三相三线全电子多功能表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三相三线全电子多功能表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三相三线全电子多功能表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直流屏增加回路</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电器元件</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余热发电分散控制系统</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负荷开关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FN3-10 400A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负荷开关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FN3-10 400A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负荷开关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FN3-10 400A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集中控制箱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SG-1250KVA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0203-DQ-0589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符合开关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FN3-10 /400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符合开关</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FN3-10 /400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Y315M-4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Y315M-4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Y315M-4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Y315M-4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Y315M-4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直流电源装置</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GZG10-65/220-M</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发电机保护、联络线控制屏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研华工控机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0203-DQ-0599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DY1-9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电子除垢仪</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DC40-2E</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KG221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导热油加热炉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MNS+B0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MNS+B1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稳压器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40GDL-12*3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B3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0203-DQ-0619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MNS(B1)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低压配电柜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MNS(B2)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集中控制柜</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AC</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S9-315kva/10kv/0.4kv</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S9-315kva/10kv/0.4kv</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检修电源箱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PXTR-2-3*16/1C63A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PXTR-2-3*8/1C80A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XL-20-4-2(63A)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PXTR-2-3*10/1C80A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1079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PXTR-2-3*6/1C50A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PXTR-2-3*6/1C40A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PXTR-2-3*3/1L</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XL-20-3-2(25A)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XL-20-4-2(50A)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PXTR-2-3*16/1C63A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PXTR-2-3*8/1C80A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PXTR-2-3*10/1C80A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PXTR-2-3*6/1C50A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PXTR-2-3*3/1L</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1089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照明动力配电箱</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XL-20-3-2(50A)</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箱式电阻炉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A4-13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箱式电阻炉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A4-13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化验室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电动豪华门及配件</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IIB柜式仪表盘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KG321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IIB柜式仪表盘</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xml:space="preserve">KG321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运行工段（炭素）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0203-DQ-0649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1099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1109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1119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0203-DQ-0679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0203-DQ-0680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0203-DQ-0692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阳极碳素食堂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0203-DQ-0693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阳极碳素食堂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1129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0203-DQ-0709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阳极碳素食堂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0203-DQ-0710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阳极碳素食堂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0203-DQ-0715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0203-DQ-0716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0203-DQ-0721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科龙空调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0203-DQ-0727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空调机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KFR-32GM/E2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0205-ZY-0001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回转窑</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0205-ZY-0002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回转窑</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0205-ZY-0003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沥青熔化非标设备</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1139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0205-ZY-0004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三工位转台式震动式成型机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0205-ZY-0005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生阳极非标设备</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0205-ZY-0006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打印机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HP1125C</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0207-BG-0002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打印机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Epson915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0207-BG-0012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联想计算机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开天4600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0207-BG-0013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联想计算机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开天4600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0207-BG-0022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传真机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夏普</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0203-DQ-0729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工业吸尘器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G*200 3KW</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2006/6/29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2006/6/29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0202-JX-0553</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水泵</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3000J/200-60/4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2006/6/29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2006/6/29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1149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金属切割机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2006/6/30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2006/6/30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凝结器清洗机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CX-280B</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2006/7/28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2006/7/28</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0207-BG-0030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电子显示屏</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LED 1650*2300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2006/11/30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2006/11/30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企业管理办公室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0203-DQ-0731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工业吸尘器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GS-3078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碳块取样机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TQJ-200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2007/7/30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2007/7/30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质量管理室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无填料雾化冷却塔</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WTWL-1200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2007/12/30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2007/12/30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无填料雾化冷却塔</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WTWL-1200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2007/12/30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2007/12/30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0202-JX-0559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无填料雾化冷却塔</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WTWL-1200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2007/12/30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2007/12/30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鼓风机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HD-30S</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2008/4/30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2008/4/30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行政管理部</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0207-BG-0036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笔记本电脑</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联想R400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2010/2/26</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2010/2/26</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1159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0203-DQ-0735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KFR-72LW/DY-IB(E2)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煅烧工段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0203-DQ-0736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KFR-120LW/SDY-GC(E2)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0203-DQ-0737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KFR-120LW/SDY-GC(E2)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0203-DQ-0738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KFR-72LW/DY-IB(E2)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0203-DQ-0739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KFR-72LW/DY-IB(E2)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0203-DQ-0740</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KFR-120LW/SDY-GA(E5)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0203-DQ-0741</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美的空调</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KFR-120LW/SDY-GA(E5)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1166</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0203-DQ-0742</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IGBT直流弧焊机</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YD-400AT3HGE</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2010/8/31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检修工段（碳素）</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1167</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电加热锅炉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自制</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2010/12/20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2010/12/20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阳极部调度室</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1168</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0203-DQ-0744</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焙烧烟气净化（改）</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2012/10/30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2012/10/30</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焙烧工段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1169</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0202-JX-0565</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电捕焦油器塔体</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THMHB-FD-55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2017/11/29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2017/11/29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1170</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0202-JX-0566</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电捕焦油器塔体</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THMHB-FD-55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2017/11/29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2017/11/29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1171</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0202-JX-0567</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高效除雾净化装置</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三通道2630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2019/1/29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2019/1/29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1172</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0202-JX-0568</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高效除雾净化装置</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三通道2630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2019/1/29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2019/1/29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1173</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0202-JX-0569</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设备锥底基础和除雾装置</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THMHB-FD-207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2019/1/29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2019/1/29</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报废</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1174</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导热油加热炉</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成型工段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05" w:hRule="atLeast"/>
          <w:jc w:val="center"/>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1175</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270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电力变压器</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Cs w:val="21"/>
              </w:rPr>
            </w:pPr>
            <w:r>
              <w:rPr>
                <w:rFonts w:hint="eastAsia" w:ascii="仿宋" w:hAnsi="仿宋" w:eastAsia="仿宋" w:cs="宋体"/>
                <w:kern w:val="0"/>
                <w:szCs w:val="21"/>
              </w:rPr>
              <w:t>S9-1250/10-04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台</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2004/10/1</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余热发电工段</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360" w:hRule="atLeast"/>
          <w:jc w:val="center"/>
        </w:trPr>
        <w:tc>
          <w:tcPr>
            <w:tcW w:w="4876"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合  计</w:t>
            </w:r>
          </w:p>
        </w:tc>
        <w:tc>
          <w:tcPr>
            <w:tcW w:w="2316"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kern w:val="0"/>
                <w:szCs w:val="21"/>
              </w:rPr>
            </w:pPr>
            <w:r>
              <w:rPr>
                <w:rFonts w:hint="eastAsia" w:ascii="仿宋" w:hAnsi="仿宋" w:eastAsia="仿宋" w:cs="宋体"/>
                <w:b/>
                <w:bCs/>
                <w:kern w:val="0"/>
                <w:szCs w:val="21"/>
              </w:rPr>
              <w:t>　</w:t>
            </w:r>
          </w:p>
        </w:tc>
        <w:tc>
          <w:tcPr>
            <w:tcW w:w="6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1176</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r>
    </w:tbl>
    <w:p>
      <w:pPr>
        <w:jc w:val="center"/>
        <w:rPr>
          <w:rFonts w:ascii="仿宋" w:hAnsi="仿宋" w:eastAsia="仿宋"/>
          <w:sz w:val="32"/>
          <w:szCs w:val="32"/>
        </w:rPr>
        <w:sectPr>
          <w:headerReference r:id="rId7" w:type="default"/>
          <w:footerReference r:id="rId8" w:type="default"/>
          <w:pgSz w:w="16838" w:h="11906" w:orient="landscape"/>
          <w:pgMar w:top="1304" w:right="1134" w:bottom="1077" w:left="1134" w:header="851" w:footer="992" w:gutter="0"/>
          <w:cols w:space="720" w:num="1"/>
          <w:docGrid w:type="linesAndChars" w:linePitch="312" w:charSpace="0"/>
        </w:sect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left"/>
        <w:rPr>
          <w:rFonts w:ascii="仿宋" w:hAnsi="仿宋" w:eastAsia="仿宋"/>
          <w:b/>
          <w:sz w:val="32"/>
          <w:szCs w:val="32"/>
        </w:rPr>
      </w:pPr>
      <w:r>
        <w:rPr>
          <w:rFonts w:hint="eastAsia" w:ascii="仿宋" w:hAnsi="仿宋" w:eastAsia="仿宋"/>
          <w:b/>
          <w:sz w:val="24"/>
        </w:rPr>
        <w:drawing>
          <wp:anchor distT="0" distB="0" distL="114300" distR="114300" simplePos="0" relativeHeight="251659264" behindDoc="0" locked="0" layoutInCell="1" allowOverlap="1">
            <wp:simplePos x="0" y="0"/>
            <wp:positionH relativeFrom="column">
              <wp:posOffset>4532630</wp:posOffset>
            </wp:positionH>
            <wp:positionV relativeFrom="paragraph">
              <wp:posOffset>118745</wp:posOffset>
            </wp:positionV>
            <wp:extent cx="1141730" cy="1146810"/>
            <wp:effectExtent l="19050" t="0" r="1270" b="0"/>
            <wp:wrapSquare wrapText="bothSides"/>
            <wp:docPr id="4" name="图片 1" descr="广元市拍卖有限公司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广元市拍卖有限公司二维码.jpg"/>
                    <pic:cNvPicPr>
                      <a:picLocks noChangeAspect="1"/>
                    </pic:cNvPicPr>
                  </pic:nvPicPr>
                  <pic:blipFill>
                    <a:blip r:embed="rId28" cstate="print"/>
                    <a:stretch>
                      <a:fillRect/>
                    </a:stretch>
                  </pic:blipFill>
                  <pic:spPr>
                    <a:xfrm>
                      <a:off x="0" y="0"/>
                      <a:ext cx="1141730" cy="1146810"/>
                    </a:xfrm>
                    <a:prstGeom prst="rect">
                      <a:avLst/>
                    </a:prstGeom>
                  </pic:spPr>
                </pic:pic>
              </a:graphicData>
            </a:graphic>
          </wp:anchor>
        </w:drawing>
      </w:r>
      <w:r>
        <w:rPr>
          <w:rFonts w:ascii="仿宋" w:hAnsi="仿宋" w:eastAsia="仿宋"/>
          <w:b/>
          <w:sz w:val="32"/>
          <w:szCs w:val="32"/>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365760</wp:posOffset>
                </wp:positionV>
                <wp:extent cx="3984625" cy="0"/>
                <wp:effectExtent l="0" t="0" r="0" b="0"/>
                <wp:wrapNone/>
                <wp:docPr id="22" name="直线 8"/>
                <wp:cNvGraphicFramePr/>
                <a:graphic xmlns:a="http://schemas.openxmlformats.org/drawingml/2006/main">
                  <a:graphicData uri="http://schemas.microsoft.com/office/word/2010/wordprocessingShape">
                    <wps:wsp>
                      <wps:cNvCnPr>
                        <a:cxnSpLocks noChangeShapeType="1"/>
                      </wps:cNvCnPr>
                      <wps:spPr bwMode="auto">
                        <a:xfrm>
                          <a:off x="0" y="0"/>
                          <a:ext cx="3984625" cy="0"/>
                        </a:xfrm>
                        <a:prstGeom prst="line">
                          <a:avLst/>
                        </a:prstGeom>
                        <a:noFill/>
                        <a:ln w="9525">
                          <a:solidFill>
                            <a:srgbClr val="000000"/>
                          </a:solidFill>
                          <a:round/>
                        </a:ln>
                        <a:effectLst/>
                      </wps:spPr>
                      <wps:bodyPr/>
                    </wps:wsp>
                  </a:graphicData>
                </a:graphic>
              </wp:anchor>
            </w:drawing>
          </mc:Choice>
          <mc:Fallback>
            <w:pict>
              <v:line id="直线 8" o:spid="_x0000_s1026" o:spt="20" style="position:absolute;left:0pt;margin-left:0.7pt;margin-top:28.8pt;height:0pt;width:313.75pt;z-index:251658240;mso-width-relative:page;mso-height-relative:page;" filled="f" stroked="t" coordsize="21600,21600" o:gfxdata="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0TOQ0wAAAAcBAAAPAAAAAAAAAAEA&#10;IAAAACIAAABkcnMvZG93bnJldi54bWxQSwECFAAUAAAACACHTuJAFT1U/tsBAACwAwAADgAAAAAA&#10;AAABACAAAAAiAQAAZHJzL2Uyb0RvYy54bWxQSwUGAAAAAAYABgBZAQAAbwUAAAAA&#10;">
                <v:fill on="f" focussize="0,0"/>
                <v:stroke color="#000000" joinstyle="round"/>
                <v:imagedata o:title=""/>
                <o:lock v:ext="edit" aspectratio="f"/>
              </v:line>
            </w:pict>
          </mc:Fallback>
        </mc:AlternateContent>
      </w:r>
      <w:r>
        <w:rPr>
          <w:rFonts w:hint="eastAsia" w:ascii="仿宋" w:hAnsi="仿宋" w:eastAsia="仿宋"/>
          <w:b/>
          <w:sz w:val="32"/>
          <w:szCs w:val="32"/>
        </w:rPr>
        <w:t xml:space="preserve">广元市拍卖有限公司       </w:t>
      </w:r>
      <w:r>
        <w:rPr>
          <w:rFonts w:hint="eastAsia" w:ascii="仿宋" w:hAnsi="仿宋" w:eastAsia="仿宋"/>
          <w:b/>
          <w:sz w:val="28"/>
          <w:szCs w:val="28"/>
        </w:rPr>
        <w:t xml:space="preserve"> </w:t>
      </w:r>
      <w:r>
        <w:rPr>
          <w:rFonts w:hint="eastAsia" w:ascii="仿宋" w:hAnsi="仿宋" w:eastAsia="仿宋"/>
          <w:b/>
          <w:sz w:val="24"/>
        </w:rPr>
        <w:t>国家AA级拍卖企业</w:t>
      </w:r>
    </w:p>
    <w:p>
      <w:pPr>
        <w:spacing w:line="400" w:lineRule="exact"/>
        <w:jc w:val="left"/>
        <w:rPr>
          <w:rFonts w:ascii="仿宋" w:hAnsi="仿宋" w:eastAsia="仿宋"/>
          <w:b/>
          <w:sz w:val="24"/>
        </w:rPr>
      </w:pPr>
      <w:r>
        <w:rPr>
          <w:rFonts w:hint="eastAsia" w:ascii="仿宋" w:hAnsi="仿宋" w:eastAsia="仿宋"/>
          <w:b/>
          <w:sz w:val="24"/>
        </w:rPr>
        <w:t>地址：广元市万达广场晶座A 12-2、12-3号</w:t>
      </w:r>
    </w:p>
    <w:p>
      <w:pPr>
        <w:spacing w:line="400" w:lineRule="exact"/>
        <w:jc w:val="left"/>
        <w:rPr>
          <w:rFonts w:ascii="仿宋" w:hAnsi="仿宋" w:eastAsia="仿宋"/>
          <w:b/>
          <w:sz w:val="24"/>
        </w:rPr>
      </w:pPr>
      <w:r>
        <w:rPr>
          <w:rFonts w:hint="eastAsia" w:ascii="仿宋" w:hAnsi="仿宋" w:eastAsia="仿宋"/>
          <w:b/>
          <w:sz w:val="24"/>
        </w:rPr>
        <w:t>电话：0839-3262339/3224587</w:t>
      </w:r>
    </w:p>
    <w:p>
      <w:pPr>
        <w:spacing w:line="400" w:lineRule="exact"/>
        <w:jc w:val="left"/>
        <w:rPr>
          <w:rFonts w:ascii="仿宋" w:hAnsi="仿宋" w:eastAsia="仿宋"/>
          <w:b/>
          <w:sz w:val="24"/>
        </w:rPr>
      </w:pPr>
      <w:r>
        <w:rPr>
          <w:rFonts w:hint="eastAsia" w:ascii="仿宋" w:hAnsi="仿宋" w:eastAsia="仿宋"/>
          <w:b/>
          <w:sz w:val="24"/>
        </w:rPr>
        <w:t>网址：www.gya123.com</w:t>
      </w:r>
    </w:p>
    <w:p>
      <w:pPr>
        <w:rPr>
          <w:rFonts w:ascii="仿宋" w:hAnsi="仿宋" w:eastAsia="仿宋"/>
          <w:sz w:val="24"/>
        </w:rPr>
      </w:pPr>
    </w:p>
    <w:sectPr>
      <w:headerReference r:id="rId9" w:type="default"/>
      <w:footerReference r:id="rId10" w:type="default"/>
      <w:pgSz w:w="11906" w:h="16838"/>
      <w:pgMar w:top="1134" w:right="1077" w:bottom="1134" w:left="130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隶书">
    <w:altName w:val="微软雅黑"/>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b/>
      </w:rPr>
      <w:id w:val="1379044969"/>
      <w:docPartObj>
        <w:docPartGallery w:val="AutoText"/>
      </w:docPartObj>
    </w:sdtPr>
    <w:sdtEndPr>
      <w:rPr>
        <w:rFonts w:ascii="宋体" w:hAnsi="宋体"/>
        <w:b/>
      </w:rPr>
    </w:sdtEndPr>
    <w:sdtContent>
      <w:p>
        <w:pPr>
          <w:pStyle w:val="5"/>
          <w:ind w:firstLine="181" w:firstLineChars="100"/>
          <w:rPr>
            <w:rFonts w:ascii="宋体" w:hAnsi="宋体"/>
            <w:b/>
          </w:rPr>
        </w:pPr>
        <w:r>
          <w:rPr>
            <w:rFonts w:ascii="宋体" w:hAnsi="宋体"/>
            <w:b/>
          </w:rPr>
          <mc:AlternateContent>
            <mc:Choice Requires="wps">
              <w:drawing>
                <wp:anchor distT="0" distB="0" distL="114300" distR="114300" simplePos="0" relativeHeight="251661312" behindDoc="0" locked="0" layoutInCell="1" allowOverlap="1">
                  <wp:simplePos x="0" y="0"/>
                  <wp:positionH relativeFrom="page">
                    <wp:posOffset>6400165</wp:posOffset>
                  </wp:positionH>
                  <wp:positionV relativeFrom="page">
                    <wp:posOffset>9457055</wp:posOffset>
                  </wp:positionV>
                  <wp:extent cx="1092200" cy="1160145"/>
                  <wp:effectExtent l="0" t="0" r="12700" b="1905"/>
                  <wp:wrapNone/>
                  <wp:docPr id="654" name="自选图形 13"/>
                  <wp:cNvGraphicFramePr/>
                  <a:graphic xmlns:a="http://schemas.openxmlformats.org/drawingml/2006/main">
                    <a:graphicData uri="http://schemas.microsoft.com/office/word/2010/wordprocessingShape">
                      <wps:wsp>
                        <wps:cNvSpPr>
                          <a:spLocks noChangeArrowheads="1"/>
                        </wps:cNvSpPr>
                        <wps:spPr bwMode="auto">
                          <a:xfrm>
                            <a:off x="0" y="0"/>
                            <a:ext cx="929005" cy="897890"/>
                          </a:xfrm>
                          <a:prstGeom prst="triangle">
                            <a:avLst>
                              <a:gd name="adj" fmla="val 100000"/>
                            </a:avLst>
                          </a:prstGeom>
                          <a:solidFill>
                            <a:srgbClr val="D2EAF1"/>
                          </a:solidFill>
                          <a:ln>
                            <a:noFill/>
                          </a:ln>
                          <a:effectLst/>
                        </wps:spPr>
                        <wps:txbx>
                          <w:txbxContent>
                            <w:p>
                              <w:pPr>
                                <w:jc w:val="center"/>
                                <w:rPr>
                                  <w:sz w:val="36"/>
                                  <w:szCs w:val="36"/>
                                </w:rPr>
                              </w:pPr>
                              <w:r>
                                <w:rPr>
                                  <w:rFonts w:asciiTheme="minorHAnsi" w:hAnsiTheme="minorHAnsi" w:eastAsiaTheme="minorEastAsia" w:cstheme="minorBidi"/>
                                  <w:sz w:val="36"/>
                                  <w:szCs w:val="36"/>
                                </w:rPr>
                                <w:fldChar w:fldCharType="begin"/>
                              </w:r>
                              <w:r>
                                <w:rPr>
                                  <w:sz w:val="36"/>
                                  <w:szCs w:val="36"/>
                                </w:rPr>
                                <w:instrText xml:space="preserve">PAGE    \* MERGEFORMAT</w:instrText>
                              </w:r>
                              <w:r>
                                <w:rPr>
                                  <w:rFonts w:asciiTheme="minorHAnsi" w:hAnsiTheme="minorHAnsi" w:eastAsiaTheme="minorEastAsia" w:cstheme="minorBidi"/>
                                  <w:sz w:val="36"/>
                                  <w:szCs w:val="36"/>
                                </w:rPr>
                                <w:fldChar w:fldCharType="separate"/>
                              </w:r>
                              <w:r>
                                <w:rPr>
                                  <w:rFonts w:asciiTheme="majorHAnsi" w:hAnsiTheme="majorHAnsi" w:eastAsiaTheme="majorEastAsia" w:cstheme="majorBidi"/>
                                  <w:color w:val="CCE8CF" w:themeColor="background1"/>
                                  <w:sz w:val="36"/>
                                  <w:szCs w:val="36"/>
                                  <w:lang w:val="zh-CN"/>
                                </w:rPr>
                                <w:t>27</w:t>
                              </w:r>
                              <w:r>
                                <w:rPr>
                                  <w:rFonts w:asciiTheme="majorHAnsi" w:hAnsiTheme="majorHAnsi" w:eastAsiaTheme="majorEastAsia" w:cstheme="majorBidi"/>
                                  <w:color w:val="CCE8CF" w:themeColor="background1"/>
                                  <w:sz w:val="36"/>
                                  <w:szCs w:val="36"/>
                                </w:rPr>
                                <w:fldChar w:fldCharType="end"/>
                              </w:r>
                            </w:p>
                          </w:txbxContent>
                        </wps:txbx>
                        <wps:bodyPr rot="0" vert="horz" wrap="square" lIns="91440" tIns="45720" rIns="91440" bIns="45720" anchor="t" anchorCtr="0" upright="1">
                          <a:noAutofit/>
                        </wps:bodyPr>
                      </wps:wsp>
                    </a:graphicData>
                  </a:graphic>
                </wp:anchor>
              </w:drawing>
            </mc:Choice>
            <mc:Fallback>
              <w:pict>
                <v:shape id="自选图形 13" o:spid="_x0000_s1026" o:spt="5" type="#_x0000_t5" style="position:absolute;left:0pt;margin-left:503.95pt;margin-top:744.65pt;height:91.35pt;width:86pt;mso-position-horizontal-relative:page;mso-position-vertical-relative:page;z-index:251661312;mso-width-relative:page;mso-height-relative:page;" fillcolor="#D2EAF1" filled="t" stroked="f" coordsize="21600,21600" o:gfxdata="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8ObG9kAAAAPAQAA&#10;DwAAAAAAAAABACAAAAAiAAAAZHJzL2Rvd25yZXYueG1sUEsBAhQAFAAAAAgAh07iQJLiXYNRAgAA&#10;eAQAAA4AAAAAAAAAAQAgAAAAKAEAAGRycy9lMm9Eb2MueG1sUEsFBgAAAAAGAAYAWQEAAOsFAAAA&#10;AA==&#10;" adj="21600">
                  <v:fill on="t" focussize="0,0"/>
                  <v:stroke on="f"/>
                  <v:imagedata o:title=""/>
                  <o:lock v:ext="edit" aspectratio="f"/>
                  <v:textbox>
                    <w:txbxContent>
                      <w:p>
                        <w:pPr>
                          <w:jc w:val="center"/>
                          <w:rPr>
                            <w:sz w:val="36"/>
                            <w:szCs w:val="36"/>
                          </w:rPr>
                        </w:pPr>
                        <w:r>
                          <w:rPr>
                            <w:rFonts w:asciiTheme="minorHAnsi" w:hAnsiTheme="minorHAnsi" w:eastAsiaTheme="minorEastAsia" w:cstheme="minorBidi"/>
                            <w:sz w:val="36"/>
                            <w:szCs w:val="36"/>
                          </w:rPr>
                          <w:fldChar w:fldCharType="begin"/>
                        </w:r>
                        <w:r>
                          <w:rPr>
                            <w:sz w:val="36"/>
                            <w:szCs w:val="36"/>
                          </w:rPr>
                          <w:instrText xml:space="preserve">PAGE    \* MERGEFORMAT</w:instrText>
                        </w:r>
                        <w:r>
                          <w:rPr>
                            <w:rFonts w:asciiTheme="minorHAnsi" w:hAnsiTheme="minorHAnsi" w:eastAsiaTheme="minorEastAsia" w:cstheme="minorBidi"/>
                            <w:sz w:val="36"/>
                            <w:szCs w:val="36"/>
                          </w:rPr>
                          <w:fldChar w:fldCharType="separate"/>
                        </w:r>
                        <w:r>
                          <w:rPr>
                            <w:rFonts w:asciiTheme="majorHAnsi" w:hAnsiTheme="majorHAnsi" w:eastAsiaTheme="majorEastAsia" w:cstheme="majorBidi"/>
                            <w:color w:val="CCE8CF" w:themeColor="background1"/>
                            <w:sz w:val="36"/>
                            <w:szCs w:val="36"/>
                            <w:lang w:val="zh-CN"/>
                          </w:rPr>
                          <w:t>27</w:t>
                        </w:r>
                        <w:r>
                          <w:rPr>
                            <w:rFonts w:asciiTheme="majorHAnsi" w:hAnsiTheme="majorHAnsi" w:eastAsiaTheme="majorEastAsia" w:cstheme="majorBidi"/>
                            <w:color w:val="CCE8CF" w:themeColor="background1"/>
                            <w:sz w:val="36"/>
                            <w:szCs w:val="36"/>
                          </w:rPr>
                          <w:fldChar w:fldCharType="end"/>
                        </w:r>
                      </w:p>
                    </w:txbxContent>
                  </v:textbox>
                </v:shape>
              </w:pict>
            </mc:Fallback>
          </mc:AlternateContent>
        </w:r>
        <w:r>
          <w:rPr>
            <w:rFonts w:ascii="宋体" w:hAnsi="宋体"/>
            <w:b/>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17145</wp:posOffset>
                  </wp:positionV>
                  <wp:extent cx="6193790" cy="0"/>
                  <wp:effectExtent l="0" t="0" r="0" b="0"/>
                  <wp:wrapNone/>
                  <wp:docPr id="3" name="直接连接符 644"/>
                  <wp:cNvGraphicFramePr/>
                  <a:graphic xmlns:a="http://schemas.openxmlformats.org/drawingml/2006/main">
                    <a:graphicData uri="http://schemas.microsoft.com/office/word/2010/wordprocessingShape">
                      <wps:wsp>
                        <wps:cNvSpPr/>
                        <wps:spPr>
                          <a:xfrm>
                            <a:off x="0" y="0"/>
                            <a:ext cx="61937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644" o:spid="_x0000_s1026" o:spt="20" style="position:absolute;left:0pt;margin-left:-1.35pt;margin-top:1.35pt;height:0pt;width:487.7pt;z-index:2516623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">
                  <v:fill on="f" focussize="0,0"/>
                  <v:stroke color="#000000" joinstyle="round"/>
                  <v:imagedata o:title=""/>
                  <o:lock v:ext="edit" aspectratio="f"/>
                </v:line>
              </w:pict>
            </mc:Fallback>
          </mc:AlternateContent>
        </w:r>
        <w:r>
          <w:rPr>
            <w:rFonts w:hint="eastAsia" w:ascii="宋体" w:hAnsi="宋体"/>
            <w:b/>
          </w:rPr>
          <w:t xml:space="preserve">广元万达广场晶座A12-2、12-3号                （0839）3262339、3224587　　              </w:t>
        </w:r>
        <w:r>
          <w:fldChar w:fldCharType="begin"/>
        </w:r>
        <w:r>
          <w:instrText xml:space="preserve"> HYPERLINK "http://www.gya123.com" </w:instrText>
        </w:r>
        <w:r>
          <w:fldChar w:fldCharType="separate"/>
        </w:r>
        <w:r>
          <w:rPr>
            <w:rStyle w:val="12"/>
            <w:rFonts w:hint="eastAsia" w:ascii="宋体" w:hAnsi="宋体"/>
            <w:b/>
          </w:rPr>
          <w:t>www.gya123.com</w:t>
        </w:r>
        <w:r>
          <w:rPr>
            <w:rStyle w:val="12"/>
            <w:rFonts w:hint="eastAsia" w:ascii="宋体" w:hAnsi="宋体"/>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181" w:firstLineChars="100"/>
      <w:rPr>
        <w:rFonts w:ascii="宋体" w:hAnsi="宋体"/>
        <w:b/>
      </w:rPr>
    </w:pPr>
    <w:r>
      <w:rPr>
        <w:rFonts w:ascii="宋体" w:hAnsi="宋体"/>
        <w:b/>
      </w:rPr>
      <mc:AlternateContent>
        <mc:Choice Requires="wps">
          <w:drawing>
            <wp:anchor distT="0" distB="0" distL="114300" distR="114300" simplePos="0" relativeHeight="251658240" behindDoc="0" locked="0" layoutInCell="1" allowOverlap="1">
              <wp:simplePos x="0" y="0"/>
              <wp:positionH relativeFrom="page">
                <wp:align>right</wp:align>
              </wp:positionH>
              <wp:positionV relativeFrom="page">
                <wp:align>bottom</wp:align>
              </wp:positionV>
              <wp:extent cx="985520" cy="1057275"/>
              <wp:effectExtent l="0" t="0" r="5080" b="9525"/>
              <wp:wrapNone/>
              <wp:docPr id="1" name="AutoShape 35"/>
              <wp:cNvGraphicFramePr/>
              <a:graphic xmlns:a="http://schemas.openxmlformats.org/drawingml/2006/main">
                <a:graphicData uri="http://schemas.microsoft.com/office/word/2010/wordprocessingShape">
                  <wps:wsp>
                    <wps:cNvSpPr>
                      <a:spLocks noChangeArrowheads="1"/>
                    </wps:cNvSpPr>
                    <wps:spPr bwMode="auto">
                      <a:xfrm>
                        <a:off x="0" y="0"/>
                        <a:ext cx="985631" cy="1057054"/>
                      </a:xfrm>
                      <a:prstGeom prst="triangle">
                        <a:avLst>
                          <a:gd name="adj" fmla="val 100000"/>
                        </a:avLst>
                      </a:prstGeom>
                      <a:solidFill>
                        <a:srgbClr val="D2EAF1"/>
                      </a:solidFill>
                      <a:ln>
                        <a:noFill/>
                      </a:ln>
                      <a:effectLst/>
                    </wps:spPr>
                    <wps:txbx>
                      <w:txbxContent>
                        <w:p>
                          <w:pPr>
                            <w:jc w:val="center"/>
                            <w:rPr>
                              <w:sz w:val="36"/>
                              <w:szCs w:val="36"/>
                            </w:rPr>
                          </w:pPr>
                          <w:r>
                            <w:fldChar w:fldCharType="begin"/>
                          </w:r>
                          <w:r>
                            <w:instrText xml:space="preserve"> PAGE    \* MERGEFORMAT </w:instrText>
                          </w:r>
                          <w:r>
                            <w:fldChar w:fldCharType="separate"/>
                          </w:r>
                          <w:r>
                            <w:rPr>
                              <w:rFonts w:ascii="Cambria" w:hAnsi="Cambria"/>
                              <w:color w:val="FFFFFF"/>
                              <w:sz w:val="36"/>
                              <w:szCs w:val="36"/>
                              <w:lang w:val="zh-CN"/>
                            </w:rPr>
                            <w:t>86</w:t>
                          </w:r>
                          <w:r>
                            <w:rPr>
                              <w:sz w:val="36"/>
                              <w:szCs w:val="36"/>
                            </w:rPr>
                            <w:fldChar w:fldCharType="end"/>
                          </w:r>
                        </w:p>
                      </w:txbxContent>
                    </wps:txbx>
                    <wps:bodyPr rot="0" vert="horz" wrap="square" lIns="91440" tIns="45720" rIns="91440" bIns="45720" anchor="t" anchorCtr="0" upright="1">
                      <a:noAutofit/>
                    </wps:bodyPr>
                  </wps:wsp>
                </a:graphicData>
              </a:graphic>
            </wp:anchor>
          </w:drawing>
        </mc:Choice>
        <mc:Fallback>
          <w:pict>
            <v:shape id="AutoShape 35" o:spid="_x0000_s1026" o:spt="5" type="#_x0000_t5" style="position:absolute;left:0pt;height:83.25pt;width:77.6pt;mso-position-horizontal:right;mso-position-horizontal-relative:page;mso-position-vertical:bottom;mso-position-vertical-relative:page;z-index:251658240;mso-width-relative:page;mso-height-relative:page;" fillcolor="#D2EAF1" filled="t" stroked="f" coordsize="21600,21600" o:gfxdata="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gxjHdUAAAAFAQAADwAAAAAAAAABACAAAAAiAAAAZHJzL2Rvd25yZXYu&#10;eG1sUEsBAhQAFAAAAAgAh07iQPphmOA3AgAAdAQAAA4AAAAAAAAAAQAgAAAAJAEAAGRycy9lMm9E&#10;b2MueG1sUEsFBgAAAAAGAAYAWQEAAM0FAAAAAA==&#10;" adj="21600">
              <v:fill on="t" focussize="0,0"/>
              <v:stroke on="f"/>
              <v:imagedata o:title=""/>
              <o:lock v:ext="edit" aspectratio="f"/>
              <v:textbox>
                <w:txbxContent>
                  <w:p>
                    <w:pPr>
                      <w:jc w:val="center"/>
                      <w:rPr>
                        <w:sz w:val="36"/>
                        <w:szCs w:val="36"/>
                      </w:rPr>
                    </w:pPr>
                    <w:r>
                      <w:fldChar w:fldCharType="begin"/>
                    </w:r>
                    <w:r>
                      <w:instrText xml:space="preserve"> PAGE    \* MERGEFORMAT </w:instrText>
                    </w:r>
                    <w:r>
                      <w:fldChar w:fldCharType="separate"/>
                    </w:r>
                    <w:r>
                      <w:rPr>
                        <w:rFonts w:ascii="Cambria" w:hAnsi="Cambria"/>
                        <w:color w:val="FFFFFF"/>
                        <w:sz w:val="36"/>
                        <w:szCs w:val="36"/>
                        <w:lang w:val="zh-CN"/>
                      </w:rPr>
                      <w:t>86</w:t>
                    </w:r>
                    <w:r>
                      <w:rPr>
                        <w:sz w:val="36"/>
                        <w:szCs w:val="36"/>
                      </w:rPr>
                      <w:fldChar w:fldCharType="end"/>
                    </w:r>
                  </w:p>
                </w:txbxContent>
              </v:textbox>
            </v:shape>
          </w:pict>
        </mc:Fallback>
      </mc:AlternateContent>
    </w:r>
    <w:r>
      <w:rPr>
        <w:rFonts w:ascii="宋体" w:hAnsi="宋体"/>
        <w:b/>
      </w:rPr>
      <mc:AlternateContent>
        <mc:Choice Requires="wps">
          <w:drawing>
            <wp:anchor distT="0" distB="0" distL="114300" distR="114300" simplePos="0" relativeHeight="251659264" behindDoc="0" locked="0" layoutInCell="1" allowOverlap="1">
              <wp:simplePos x="0" y="0"/>
              <wp:positionH relativeFrom="column">
                <wp:posOffset>103505</wp:posOffset>
              </wp:positionH>
              <wp:positionV relativeFrom="paragraph">
                <wp:posOffset>635</wp:posOffset>
              </wp:positionV>
              <wp:extent cx="8992870" cy="0"/>
              <wp:effectExtent l="0" t="0" r="0" b="0"/>
              <wp:wrapNone/>
              <wp:docPr id="2" name="直线 6"/>
              <wp:cNvGraphicFramePr/>
              <a:graphic xmlns:a="http://schemas.openxmlformats.org/drawingml/2006/main">
                <a:graphicData uri="http://schemas.microsoft.com/office/word/2010/wordprocessingShape">
                  <wps:wsp>
                    <wps:cNvCnPr>
                      <a:cxnSpLocks noChangeShapeType="1"/>
                    </wps:cNvCnPr>
                    <wps:spPr bwMode="auto">
                      <a:xfrm>
                        <a:off x="0" y="0"/>
                        <a:ext cx="8992870" cy="0"/>
                      </a:xfrm>
                      <a:prstGeom prst="line">
                        <a:avLst/>
                      </a:prstGeom>
                      <a:noFill/>
                      <a:ln w="9525">
                        <a:solidFill>
                          <a:srgbClr val="000000"/>
                        </a:solidFill>
                        <a:round/>
                      </a:ln>
                      <a:effectLst/>
                    </wps:spPr>
                    <wps:bodyPr/>
                  </wps:wsp>
                </a:graphicData>
              </a:graphic>
            </wp:anchor>
          </w:drawing>
        </mc:Choice>
        <mc:Fallback>
          <w:pict>
            <v:line id="直线 6" o:spid="_x0000_s1026" o:spt="20" style="position:absolute;left:0pt;margin-left:8.15pt;margin-top:0.05pt;height:0pt;width:708.1pt;z-index:251659264;mso-width-relative:page;mso-height-relative:page;" filled="f" stroked="t" coordsize="21600,21600" o:gfxdata="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X80Fj0gAAAAUBAAAPAAAAAAAAAAEA&#10;IAAAACIAAABkcnMvZG93bnJldi54bWxQSwECFAAUAAAACACHTuJAmSLgjtwBAACvAwAADgAAAAAA&#10;AAABACAAAAAhAQAAZHJzL2Uyb0RvYy54bWxQSwUGAAAAAAYABgBZAQAAbwUAAAAA&#10;">
              <v:fill on="f" focussize="0,0"/>
              <v:stroke color="#000000" joinstyle="round"/>
              <v:imagedata o:title=""/>
              <o:lock v:ext="edit" aspectratio="f"/>
            </v:line>
          </w:pict>
        </mc:Fallback>
      </mc:AlternateContent>
    </w:r>
    <w:r>
      <w:rPr>
        <w:rFonts w:hint="eastAsia" w:ascii="宋体" w:hAnsi="宋体"/>
        <w:b/>
      </w:rPr>
      <w:t xml:space="preserve">广元万达广场晶座A12-2、12-3号                                      （0839）3262339、3224587　　                                            </w:t>
    </w:r>
    <w:r>
      <w:fldChar w:fldCharType="begin"/>
    </w:r>
    <w:r>
      <w:instrText xml:space="preserve"> HYPERLINK "http://www.gya123.com" </w:instrText>
    </w:r>
    <w:r>
      <w:fldChar w:fldCharType="separate"/>
    </w:r>
    <w:r>
      <w:rPr>
        <w:rStyle w:val="12"/>
        <w:rFonts w:hint="eastAsia" w:ascii="宋体" w:hAnsi="宋体"/>
        <w:b/>
      </w:rPr>
      <w:t>www.gya123.com</w:t>
    </w:r>
    <w:r>
      <w:rPr>
        <w:rStyle w:val="12"/>
        <w:rFonts w:hint="eastAsia" w:ascii="宋体" w:hAnsi="宋体"/>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0" w:firstLineChars="50"/>
      <w:jc w:val="both"/>
      <w:rPr>
        <w:rFonts w:ascii="宋体" w:hAnsi="宋体"/>
        <w:b/>
        <w:sz w:val="21"/>
        <w:szCs w:val="21"/>
      </w:rPr>
    </w:pPr>
    <w:r>
      <w:rPr>
        <w:rFonts w:hint="eastAsia"/>
      </w:rPr>
      <w:drawing>
        <wp:inline distT="0" distB="0" distL="0" distR="0">
          <wp:extent cx="349885" cy="365760"/>
          <wp:effectExtent l="0" t="0" r="0" b="0"/>
          <wp:docPr id="16" name="图片 1"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公司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9885" cy="365760"/>
                  </a:xfrm>
                  <a:prstGeom prst="rect">
                    <a:avLst/>
                  </a:prstGeom>
                  <a:noFill/>
                  <a:ln>
                    <a:noFill/>
                  </a:ln>
                </pic:spPr>
              </pic:pic>
            </a:graphicData>
          </a:graphic>
        </wp:inline>
      </w:drawing>
    </w:r>
    <w:r>
      <w:rPr>
        <w:rFonts w:hint="eastAsia" w:ascii="宋体" w:hAnsi="宋体"/>
        <w:b/>
        <w:sz w:val="21"/>
        <w:szCs w:val="21"/>
      </w:rPr>
      <w:t>广元市拍卖有限公司　　　　　　　　　   　　　　　　　　　　　　 国家AA级拍卖企业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y="1"/>
      <w:rPr>
        <w:rStyle w:val="11"/>
      </w:rPr>
    </w:pPr>
    <w:r>
      <w:fldChar w:fldCharType="begin"/>
    </w:r>
    <w:r>
      <w:rPr>
        <w:rStyle w:val="11"/>
      </w:rPr>
      <w:instrText xml:space="preserve">PAGE  </w:instrText>
    </w:r>
    <w:r>
      <w:fldChar w:fldCharType="end"/>
    </w:r>
  </w:p>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0" w:firstLineChars="50"/>
      <w:jc w:val="both"/>
      <w:rPr>
        <w:rFonts w:ascii="宋体" w:hAnsi="宋体"/>
        <w:b/>
        <w:sz w:val="21"/>
        <w:szCs w:val="21"/>
      </w:rPr>
    </w:pPr>
    <w:r>
      <w:rPr>
        <w:rFonts w:hint="eastAsia"/>
      </w:rPr>
      <w:drawing>
        <wp:inline distT="0" distB="0" distL="0" distR="0">
          <wp:extent cx="349885" cy="365760"/>
          <wp:effectExtent l="0" t="0" r="0" b="0"/>
          <wp:docPr id="17" name="图片 1"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公司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9885" cy="365760"/>
                  </a:xfrm>
                  <a:prstGeom prst="rect">
                    <a:avLst/>
                  </a:prstGeom>
                  <a:noFill/>
                  <a:ln>
                    <a:noFill/>
                  </a:ln>
                </pic:spPr>
              </pic:pic>
            </a:graphicData>
          </a:graphic>
        </wp:inline>
      </w:drawing>
    </w:r>
    <w:r>
      <w:rPr>
        <w:rFonts w:hint="eastAsia" w:ascii="宋体" w:hAnsi="宋体"/>
        <w:b/>
        <w:sz w:val="21"/>
        <w:szCs w:val="21"/>
      </w:rPr>
      <w:t>广元市拍卖有限公司　　　　　　　　　   　　　　　　　　　　　                                                　 国家ＡＡ级拍卖企业</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465"/>
    <w:rsid w:val="00006B2F"/>
    <w:rsid w:val="00016B38"/>
    <w:rsid w:val="000232E9"/>
    <w:rsid w:val="00023DFA"/>
    <w:rsid w:val="00025CAE"/>
    <w:rsid w:val="00027654"/>
    <w:rsid w:val="000351FD"/>
    <w:rsid w:val="0004025A"/>
    <w:rsid w:val="00040E59"/>
    <w:rsid w:val="00042D17"/>
    <w:rsid w:val="000451AA"/>
    <w:rsid w:val="00065FFF"/>
    <w:rsid w:val="00067D6A"/>
    <w:rsid w:val="00087A02"/>
    <w:rsid w:val="00092F63"/>
    <w:rsid w:val="0009594B"/>
    <w:rsid w:val="0009719E"/>
    <w:rsid w:val="000A3C14"/>
    <w:rsid w:val="000D2767"/>
    <w:rsid w:val="000D4DCA"/>
    <w:rsid w:val="000E1874"/>
    <w:rsid w:val="000E6AB0"/>
    <w:rsid w:val="000E6D37"/>
    <w:rsid w:val="000F2068"/>
    <w:rsid w:val="00101B44"/>
    <w:rsid w:val="00104232"/>
    <w:rsid w:val="00106C20"/>
    <w:rsid w:val="00116107"/>
    <w:rsid w:val="00137C8A"/>
    <w:rsid w:val="00144509"/>
    <w:rsid w:val="00146F06"/>
    <w:rsid w:val="00156427"/>
    <w:rsid w:val="00160556"/>
    <w:rsid w:val="0016184A"/>
    <w:rsid w:val="001672D2"/>
    <w:rsid w:val="0017590F"/>
    <w:rsid w:val="001A093D"/>
    <w:rsid w:val="001A3F71"/>
    <w:rsid w:val="001A5149"/>
    <w:rsid w:val="001B7F80"/>
    <w:rsid w:val="001C02E4"/>
    <w:rsid w:val="001C2707"/>
    <w:rsid w:val="001C3CAF"/>
    <w:rsid w:val="001C40B0"/>
    <w:rsid w:val="001C5AE5"/>
    <w:rsid w:val="001C78B0"/>
    <w:rsid w:val="001D3EC2"/>
    <w:rsid w:val="001D4751"/>
    <w:rsid w:val="001D62E2"/>
    <w:rsid w:val="001F2AAD"/>
    <w:rsid w:val="001F545F"/>
    <w:rsid w:val="00214072"/>
    <w:rsid w:val="002333FF"/>
    <w:rsid w:val="0023433C"/>
    <w:rsid w:val="00237382"/>
    <w:rsid w:val="00243C30"/>
    <w:rsid w:val="00243E1C"/>
    <w:rsid w:val="00261E40"/>
    <w:rsid w:val="00271439"/>
    <w:rsid w:val="00277423"/>
    <w:rsid w:val="00277F29"/>
    <w:rsid w:val="00280EC7"/>
    <w:rsid w:val="0028620F"/>
    <w:rsid w:val="00293FDA"/>
    <w:rsid w:val="0029488F"/>
    <w:rsid w:val="00297765"/>
    <w:rsid w:val="002A40F7"/>
    <w:rsid w:val="002A6490"/>
    <w:rsid w:val="002C05C2"/>
    <w:rsid w:val="002D020D"/>
    <w:rsid w:val="002E3336"/>
    <w:rsid w:val="002F5468"/>
    <w:rsid w:val="002F58FD"/>
    <w:rsid w:val="002F755D"/>
    <w:rsid w:val="003047F2"/>
    <w:rsid w:val="003106BC"/>
    <w:rsid w:val="003207F4"/>
    <w:rsid w:val="00332D7D"/>
    <w:rsid w:val="00337422"/>
    <w:rsid w:val="0034050D"/>
    <w:rsid w:val="003465E7"/>
    <w:rsid w:val="0035377E"/>
    <w:rsid w:val="00355C62"/>
    <w:rsid w:val="00361D63"/>
    <w:rsid w:val="0037061D"/>
    <w:rsid w:val="003754F0"/>
    <w:rsid w:val="00376A2F"/>
    <w:rsid w:val="00381C78"/>
    <w:rsid w:val="00382365"/>
    <w:rsid w:val="00383F9A"/>
    <w:rsid w:val="003859EE"/>
    <w:rsid w:val="003A40D4"/>
    <w:rsid w:val="003B01DB"/>
    <w:rsid w:val="003C6B66"/>
    <w:rsid w:val="003C78B2"/>
    <w:rsid w:val="003E42D6"/>
    <w:rsid w:val="003E5B13"/>
    <w:rsid w:val="00403289"/>
    <w:rsid w:val="00403611"/>
    <w:rsid w:val="00405524"/>
    <w:rsid w:val="00410A3F"/>
    <w:rsid w:val="00413ABF"/>
    <w:rsid w:val="00421A83"/>
    <w:rsid w:val="004241F6"/>
    <w:rsid w:val="0043596F"/>
    <w:rsid w:val="00443253"/>
    <w:rsid w:val="00462709"/>
    <w:rsid w:val="00464A07"/>
    <w:rsid w:val="00465610"/>
    <w:rsid w:val="00471869"/>
    <w:rsid w:val="00471A18"/>
    <w:rsid w:val="0048004D"/>
    <w:rsid w:val="00484981"/>
    <w:rsid w:val="004A2B11"/>
    <w:rsid w:val="004A4529"/>
    <w:rsid w:val="004A63B3"/>
    <w:rsid w:val="004A756E"/>
    <w:rsid w:val="004B335B"/>
    <w:rsid w:val="004C27A3"/>
    <w:rsid w:val="004C3929"/>
    <w:rsid w:val="004C3A6E"/>
    <w:rsid w:val="004C58B8"/>
    <w:rsid w:val="004C6032"/>
    <w:rsid w:val="004D04DC"/>
    <w:rsid w:val="004D67D5"/>
    <w:rsid w:val="004F15E9"/>
    <w:rsid w:val="004F75B7"/>
    <w:rsid w:val="005052A0"/>
    <w:rsid w:val="00505EBE"/>
    <w:rsid w:val="005118B8"/>
    <w:rsid w:val="00515210"/>
    <w:rsid w:val="005156A7"/>
    <w:rsid w:val="00521E75"/>
    <w:rsid w:val="005223BB"/>
    <w:rsid w:val="0052697A"/>
    <w:rsid w:val="005276B9"/>
    <w:rsid w:val="00530DC1"/>
    <w:rsid w:val="00535CFA"/>
    <w:rsid w:val="00537169"/>
    <w:rsid w:val="005433AF"/>
    <w:rsid w:val="00544BB9"/>
    <w:rsid w:val="005478F2"/>
    <w:rsid w:val="00553608"/>
    <w:rsid w:val="005541CB"/>
    <w:rsid w:val="00554D22"/>
    <w:rsid w:val="00563E74"/>
    <w:rsid w:val="0056786E"/>
    <w:rsid w:val="0057038E"/>
    <w:rsid w:val="00570C1C"/>
    <w:rsid w:val="00574F2F"/>
    <w:rsid w:val="00575416"/>
    <w:rsid w:val="0057786E"/>
    <w:rsid w:val="0058366A"/>
    <w:rsid w:val="00586147"/>
    <w:rsid w:val="00591795"/>
    <w:rsid w:val="00591FF5"/>
    <w:rsid w:val="005958E9"/>
    <w:rsid w:val="00597F1C"/>
    <w:rsid w:val="005A2081"/>
    <w:rsid w:val="005B73DA"/>
    <w:rsid w:val="005C51B8"/>
    <w:rsid w:val="005D3672"/>
    <w:rsid w:val="005E0457"/>
    <w:rsid w:val="005E1C86"/>
    <w:rsid w:val="005E2CFB"/>
    <w:rsid w:val="005E3323"/>
    <w:rsid w:val="005E359C"/>
    <w:rsid w:val="005E5DAF"/>
    <w:rsid w:val="005E6D27"/>
    <w:rsid w:val="005F10BC"/>
    <w:rsid w:val="005F1B7A"/>
    <w:rsid w:val="005F7B1B"/>
    <w:rsid w:val="0060025F"/>
    <w:rsid w:val="00603DA9"/>
    <w:rsid w:val="0060676B"/>
    <w:rsid w:val="00616FC4"/>
    <w:rsid w:val="006303CC"/>
    <w:rsid w:val="006366A8"/>
    <w:rsid w:val="00641465"/>
    <w:rsid w:val="00642694"/>
    <w:rsid w:val="0064382C"/>
    <w:rsid w:val="00644D13"/>
    <w:rsid w:val="00646D36"/>
    <w:rsid w:val="0065194E"/>
    <w:rsid w:val="00654E22"/>
    <w:rsid w:val="0066102B"/>
    <w:rsid w:val="00674885"/>
    <w:rsid w:val="0067517B"/>
    <w:rsid w:val="0067530E"/>
    <w:rsid w:val="00681FB1"/>
    <w:rsid w:val="006867B5"/>
    <w:rsid w:val="00693BE1"/>
    <w:rsid w:val="006A72B1"/>
    <w:rsid w:val="006B0EC0"/>
    <w:rsid w:val="006B605E"/>
    <w:rsid w:val="006D06CF"/>
    <w:rsid w:val="006D3D38"/>
    <w:rsid w:val="006D4E7F"/>
    <w:rsid w:val="006E015C"/>
    <w:rsid w:val="006F3CC3"/>
    <w:rsid w:val="006F58B4"/>
    <w:rsid w:val="006F6F28"/>
    <w:rsid w:val="00713B1E"/>
    <w:rsid w:val="007146A6"/>
    <w:rsid w:val="00733627"/>
    <w:rsid w:val="00741449"/>
    <w:rsid w:val="00744213"/>
    <w:rsid w:val="00754CA7"/>
    <w:rsid w:val="00757517"/>
    <w:rsid w:val="007629A0"/>
    <w:rsid w:val="00764A42"/>
    <w:rsid w:val="00766A34"/>
    <w:rsid w:val="007725A5"/>
    <w:rsid w:val="00772EB8"/>
    <w:rsid w:val="00791DB4"/>
    <w:rsid w:val="007A6B7F"/>
    <w:rsid w:val="007C0DB5"/>
    <w:rsid w:val="007C3977"/>
    <w:rsid w:val="007C5A81"/>
    <w:rsid w:val="007C5F1F"/>
    <w:rsid w:val="007D3DC1"/>
    <w:rsid w:val="007D48E1"/>
    <w:rsid w:val="00806611"/>
    <w:rsid w:val="00807801"/>
    <w:rsid w:val="0081201B"/>
    <w:rsid w:val="00816765"/>
    <w:rsid w:val="00823692"/>
    <w:rsid w:val="00832584"/>
    <w:rsid w:val="008402D2"/>
    <w:rsid w:val="00852ECC"/>
    <w:rsid w:val="00854715"/>
    <w:rsid w:val="00861B84"/>
    <w:rsid w:val="00877A1E"/>
    <w:rsid w:val="008802C4"/>
    <w:rsid w:val="00887731"/>
    <w:rsid w:val="00894454"/>
    <w:rsid w:val="008A5BD5"/>
    <w:rsid w:val="008A6710"/>
    <w:rsid w:val="008B3993"/>
    <w:rsid w:val="008C5EC1"/>
    <w:rsid w:val="008C79CD"/>
    <w:rsid w:val="008D1107"/>
    <w:rsid w:val="008D748D"/>
    <w:rsid w:val="008F2F02"/>
    <w:rsid w:val="008F4577"/>
    <w:rsid w:val="009049EF"/>
    <w:rsid w:val="00915BA9"/>
    <w:rsid w:val="00916AB3"/>
    <w:rsid w:val="00937469"/>
    <w:rsid w:val="00937E6A"/>
    <w:rsid w:val="009403BA"/>
    <w:rsid w:val="00941E58"/>
    <w:rsid w:val="00954346"/>
    <w:rsid w:val="00956401"/>
    <w:rsid w:val="0096106B"/>
    <w:rsid w:val="009615FE"/>
    <w:rsid w:val="00967FD5"/>
    <w:rsid w:val="009709D5"/>
    <w:rsid w:val="009760CF"/>
    <w:rsid w:val="00980437"/>
    <w:rsid w:val="009859AE"/>
    <w:rsid w:val="009872C0"/>
    <w:rsid w:val="00990FAF"/>
    <w:rsid w:val="009922A2"/>
    <w:rsid w:val="00992D4C"/>
    <w:rsid w:val="009A3E52"/>
    <w:rsid w:val="009A5DAD"/>
    <w:rsid w:val="009C7E61"/>
    <w:rsid w:val="009D0C05"/>
    <w:rsid w:val="009D3FD5"/>
    <w:rsid w:val="009D45EF"/>
    <w:rsid w:val="009E24FA"/>
    <w:rsid w:val="009E27E8"/>
    <w:rsid w:val="009E4745"/>
    <w:rsid w:val="009E7FF9"/>
    <w:rsid w:val="009F51A0"/>
    <w:rsid w:val="00A128AC"/>
    <w:rsid w:val="00A241A3"/>
    <w:rsid w:val="00A30837"/>
    <w:rsid w:val="00A33372"/>
    <w:rsid w:val="00A37E2C"/>
    <w:rsid w:val="00A43E5E"/>
    <w:rsid w:val="00A557B8"/>
    <w:rsid w:val="00A6454F"/>
    <w:rsid w:val="00A65BAA"/>
    <w:rsid w:val="00A66BF2"/>
    <w:rsid w:val="00A7170A"/>
    <w:rsid w:val="00A808D8"/>
    <w:rsid w:val="00A96948"/>
    <w:rsid w:val="00A96F44"/>
    <w:rsid w:val="00A97D16"/>
    <w:rsid w:val="00AA647E"/>
    <w:rsid w:val="00AB1257"/>
    <w:rsid w:val="00AB20DE"/>
    <w:rsid w:val="00AB3946"/>
    <w:rsid w:val="00AC1A48"/>
    <w:rsid w:val="00AC3B59"/>
    <w:rsid w:val="00AC462C"/>
    <w:rsid w:val="00AD53EB"/>
    <w:rsid w:val="00AD77E2"/>
    <w:rsid w:val="00AE160D"/>
    <w:rsid w:val="00AE3E99"/>
    <w:rsid w:val="00AF0515"/>
    <w:rsid w:val="00AF470A"/>
    <w:rsid w:val="00B10F6C"/>
    <w:rsid w:val="00B1429B"/>
    <w:rsid w:val="00B16C12"/>
    <w:rsid w:val="00B173B5"/>
    <w:rsid w:val="00B202B2"/>
    <w:rsid w:val="00B26E96"/>
    <w:rsid w:val="00B30CB2"/>
    <w:rsid w:val="00B55920"/>
    <w:rsid w:val="00B57CE1"/>
    <w:rsid w:val="00B6688F"/>
    <w:rsid w:val="00B67EEC"/>
    <w:rsid w:val="00B709EB"/>
    <w:rsid w:val="00B717C7"/>
    <w:rsid w:val="00B74BB8"/>
    <w:rsid w:val="00B773A4"/>
    <w:rsid w:val="00B808D5"/>
    <w:rsid w:val="00B83E0C"/>
    <w:rsid w:val="00B952F7"/>
    <w:rsid w:val="00BA0C11"/>
    <w:rsid w:val="00BA58F4"/>
    <w:rsid w:val="00BB64EE"/>
    <w:rsid w:val="00BC2767"/>
    <w:rsid w:val="00BC5045"/>
    <w:rsid w:val="00BD2C41"/>
    <w:rsid w:val="00BE766B"/>
    <w:rsid w:val="00BF2E07"/>
    <w:rsid w:val="00C028F3"/>
    <w:rsid w:val="00C070D9"/>
    <w:rsid w:val="00C07B0D"/>
    <w:rsid w:val="00C14C7B"/>
    <w:rsid w:val="00C15483"/>
    <w:rsid w:val="00C22959"/>
    <w:rsid w:val="00C23ADB"/>
    <w:rsid w:val="00C2612E"/>
    <w:rsid w:val="00C26209"/>
    <w:rsid w:val="00C27B48"/>
    <w:rsid w:val="00C501D2"/>
    <w:rsid w:val="00C54153"/>
    <w:rsid w:val="00C55BAB"/>
    <w:rsid w:val="00C55FBE"/>
    <w:rsid w:val="00C574E1"/>
    <w:rsid w:val="00C577EC"/>
    <w:rsid w:val="00C607E3"/>
    <w:rsid w:val="00C66422"/>
    <w:rsid w:val="00C67918"/>
    <w:rsid w:val="00C75EA1"/>
    <w:rsid w:val="00C770AC"/>
    <w:rsid w:val="00C816F9"/>
    <w:rsid w:val="00C83B73"/>
    <w:rsid w:val="00C87936"/>
    <w:rsid w:val="00C952A6"/>
    <w:rsid w:val="00CA4ADC"/>
    <w:rsid w:val="00CA79C5"/>
    <w:rsid w:val="00CB454D"/>
    <w:rsid w:val="00CB4D6B"/>
    <w:rsid w:val="00CB7452"/>
    <w:rsid w:val="00CB7F50"/>
    <w:rsid w:val="00CC0AE0"/>
    <w:rsid w:val="00CC2966"/>
    <w:rsid w:val="00CC3590"/>
    <w:rsid w:val="00CC532F"/>
    <w:rsid w:val="00CD3F01"/>
    <w:rsid w:val="00CE00EC"/>
    <w:rsid w:val="00CE75CA"/>
    <w:rsid w:val="00CE7B91"/>
    <w:rsid w:val="00CF2544"/>
    <w:rsid w:val="00D020BB"/>
    <w:rsid w:val="00D120EA"/>
    <w:rsid w:val="00D31119"/>
    <w:rsid w:val="00D368ED"/>
    <w:rsid w:val="00D4039F"/>
    <w:rsid w:val="00D4298E"/>
    <w:rsid w:val="00D42CEE"/>
    <w:rsid w:val="00D477EA"/>
    <w:rsid w:val="00D506FD"/>
    <w:rsid w:val="00D5777B"/>
    <w:rsid w:val="00D6032C"/>
    <w:rsid w:val="00D61D3E"/>
    <w:rsid w:val="00D649B6"/>
    <w:rsid w:val="00D72D9E"/>
    <w:rsid w:val="00D74B87"/>
    <w:rsid w:val="00D75C57"/>
    <w:rsid w:val="00D7687E"/>
    <w:rsid w:val="00D83403"/>
    <w:rsid w:val="00D84F18"/>
    <w:rsid w:val="00D8709F"/>
    <w:rsid w:val="00D9056F"/>
    <w:rsid w:val="00D918FA"/>
    <w:rsid w:val="00D92104"/>
    <w:rsid w:val="00DA17AA"/>
    <w:rsid w:val="00DA5B96"/>
    <w:rsid w:val="00DA611E"/>
    <w:rsid w:val="00DB0ACE"/>
    <w:rsid w:val="00DB3CA0"/>
    <w:rsid w:val="00DB69E2"/>
    <w:rsid w:val="00DD092B"/>
    <w:rsid w:val="00DD3037"/>
    <w:rsid w:val="00DE0185"/>
    <w:rsid w:val="00DF1264"/>
    <w:rsid w:val="00DF7008"/>
    <w:rsid w:val="00E0592D"/>
    <w:rsid w:val="00E106A5"/>
    <w:rsid w:val="00E11F47"/>
    <w:rsid w:val="00E14FB4"/>
    <w:rsid w:val="00E20AB5"/>
    <w:rsid w:val="00E26C57"/>
    <w:rsid w:val="00E320FF"/>
    <w:rsid w:val="00E36686"/>
    <w:rsid w:val="00E44F41"/>
    <w:rsid w:val="00E458FB"/>
    <w:rsid w:val="00E67031"/>
    <w:rsid w:val="00E67A28"/>
    <w:rsid w:val="00E71E23"/>
    <w:rsid w:val="00E71F63"/>
    <w:rsid w:val="00E7629D"/>
    <w:rsid w:val="00E77C43"/>
    <w:rsid w:val="00E83E7D"/>
    <w:rsid w:val="00E875C7"/>
    <w:rsid w:val="00E9752B"/>
    <w:rsid w:val="00EA010C"/>
    <w:rsid w:val="00EA4874"/>
    <w:rsid w:val="00EA756E"/>
    <w:rsid w:val="00EB0C3D"/>
    <w:rsid w:val="00EB74B9"/>
    <w:rsid w:val="00EC7659"/>
    <w:rsid w:val="00ED0143"/>
    <w:rsid w:val="00ED57CC"/>
    <w:rsid w:val="00EE0E5B"/>
    <w:rsid w:val="00EE33FB"/>
    <w:rsid w:val="00EE731B"/>
    <w:rsid w:val="00EE7F25"/>
    <w:rsid w:val="00EF0858"/>
    <w:rsid w:val="00F05C8D"/>
    <w:rsid w:val="00F12099"/>
    <w:rsid w:val="00F16EAA"/>
    <w:rsid w:val="00F246D3"/>
    <w:rsid w:val="00F26A80"/>
    <w:rsid w:val="00F27527"/>
    <w:rsid w:val="00F3001B"/>
    <w:rsid w:val="00F307E8"/>
    <w:rsid w:val="00F31E32"/>
    <w:rsid w:val="00F36E7C"/>
    <w:rsid w:val="00F43E74"/>
    <w:rsid w:val="00F46895"/>
    <w:rsid w:val="00F515D5"/>
    <w:rsid w:val="00F57830"/>
    <w:rsid w:val="00F61587"/>
    <w:rsid w:val="00F63F69"/>
    <w:rsid w:val="00F67A6F"/>
    <w:rsid w:val="00F73692"/>
    <w:rsid w:val="00F743B3"/>
    <w:rsid w:val="00F775E4"/>
    <w:rsid w:val="00F8353F"/>
    <w:rsid w:val="00F83AFB"/>
    <w:rsid w:val="00F86446"/>
    <w:rsid w:val="00F90A48"/>
    <w:rsid w:val="00F97A66"/>
    <w:rsid w:val="00F97ECD"/>
    <w:rsid w:val="00FA032E"/>
    <w:rsid w:val="00FA3A23"/>
    <w:rsid w:val="00FA540F"/>
    <w:rsid w:val="00FB300C"/>
    <w:rsid w:val="00FB5379"/>
    <w:rsid w:val="00FB56E4"/>
    <w:rsid w:val="00FB6E0B"/>
    <w:rsid w:val="00FC0E2D"/>
    <w:rsid w:val="00FC2B73"/>
    <w:rsid w:val="00FC450D"/>
    <w:rsid w:val="00FC5A55"/>
    <w:rsid w:val="00FC7552"/>
    <w:rsid w:val="00FC7C8F"/>
    <w:rsid w:val="00FD5CB4"/>
    <w:rsid w:val="00FE0D9F"/>
    <w:rsid w:val="00FE59B7"/>
    <w:rsid w:val="00FE7E08"/>
    <w:rsid w:val="08977EB3"/>
    <w:rsid w:val="0F09082A"/>
    <w:rsid w:val="10B968EA"/>
    <w:rsid w:val="11885330"/>
    <w:rsid w:val="165B62F8"/>
    <w:rsid w:val="1DF37262"/>
    <w:rsid w:val="212857F8"/>
    <w:rsid w:val="251A080E"/>
    <w:rsid w:val="25C16AA4"/>
    <w:rsid w:val="2E125163"/>
    <w:rsid w:val="42506D0D"/>
    <w:rsid w:val="57D51209"/>
    <w:rsid w:val="5BE83FA5"/>
    <w:rsid w:val="5E867C8D"/>
    <w:rsid w:val="63B4348C"/>
    <w:rsid w:val="6EA24E85"/>
    <w:rsid w:val="77162885"/>
    <w:rsid w:val="77935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spacing w:line="360" w:lineRule="auto"/>
      <w:ind w:firstLine="420" w:firstLineChars="200"/>
    </w:pPr>
    <w:rPr>
      <w:rFonts w:hAnsi="Calibri"/>
    </w:rPr>
  </w:style>
  <w:style w:type="paragraph" w:styleId="3">
    <w:name w:val="Body Text"/>
    <w:basedOn w:val="1"/>
    <w:link w:val="16"/>
    <w:unhideWhenUsed/>
    <w:qFormat/>
    <w:uiPriority w:val="0"/>
    <w:pPr>
      <w:spacing w:after="120"/>
    </w:pPr>
    <w:rPr>
      <w:szCs w:val="22"/>
    </w:rPr>
  </w:style>
  <w:style w:type="paragraph" w:styleId="4">
    <w:name w:val="Balloon Text"/>
    <w:basedOn w:val="1"/>
    <w:link w:val="23"/>
    <w:qFormat/>
    <w:uiPriority w:val="0"/>
    <w:rPr>
      <w:sz w:val="18"/>
      <w:szCs w:val="18"/>
    </w:rPr>
  </w:style>
  <w:style w:type="paragraph" w:styleId="5">
    <w:name w:val="footer"/>
    <w:basedOn w:val="1"/>
    <w:link w:val="14"/>
    <w:uiPriority w:val="99"/>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8">
    <w:name w:val="Title"/>
    <w:basedOn w:val="1"/>
    <w:next w:val="1"/>
    <w:link w:val="15"/>
    <w:qFormat/>
    <w:uiPriority w:val="0"/>
    <w:pPr>
      <w:spacing w:before="240" w:after="60"/>
      <w:jc w:val="center"/>
      <w:outlineLvl w:val="0"/>
    </w:pPr>
    <w:rPr>
      <w:rFonts w:ascii="Cambria" w:hAnsi="Cambria"/>
      <w:b/>
      <w:bCs/>
      <w:sz w:val="32"/>
      <w:szCs w:val="32"/>
    </w:rPr>
  </w:style>
  <w:style w:type="character" w:styleId="11">
    <w:name w:val="page number"/>
    <w:basedOn w:val="10"/>
    <w:uiPriority w:val="0"/>
  </w:style>
  <w:style w:type="character" w:styleId="12">
    <w:name w:val="Hyperlink"/>
    <w:unhideWhenUsed/>
    <w:qFormat/>
    <w:uiPriority w:val="99"/>
    <w:rPr>
      <w:color w:val="0000FF"/>
      <w:u w:val="single"/>
    </w:rPr>
  </w:style>
  <w:style w:type="character" w:customStyle="1" w:styleId="13">
    <w:name w:val="已访问的超链接1"/>
    <w:uiPriority w:val="99"/>
    <w:rPr>
      <w:color w:val="800080"/>
      <w:u w:val="single"/>
    </w:rPr>
  </w:style>
  <w:style w:type="character" w:customStyle="1" w:styleId="14">
    <w:name w:val="页脚 Char"/>
    <w:link w:val="5"/>
    <w:uiPriority w:val="99"/>
    <w:rPr>
      <w:kern w:val="2"/>
      <w:sz w:val="18"/>
      <w:szCs w:val="18"/>
    </w:rPr>
  </w:style>
  <w:style w:type="character" w:customStyle="1" w:styleId="15">
    <w:name w:val="标题 Char"/>
    <w:link w:val="8"/>
    <w:uiPriority w:val="0"/>
    <w:rPr>
      <w:rFonts w:ascii="Cambria" w:hAnsi="Cambria"/>
      <w:b/>
      <w:bCs/>
      <w:kern w:val="2"/>
      <w:sz w:val="32"/>
      <w:szCs w:val="32"/>
    </w:rPr>
  </w:style>
  <w:style w:type="character" w:customStyle="1" w:styleId="16">
    <w:name w:val="正文文本 Char"/>
    <w:link w:val="3"/>
    <w:uiPriority w:val="0"/>
    <w:rPr>
      <w:kern w:val="2"/>
      <w:sz w:val="21"/>
      <w:szCs w:val="22"/>
    </w:rPr>
  </w:style>
  <w:style w:type="character" w:customStyle="1" w:styleId="17">
    <w:name w:val="标题 Char1"/>
    <w:qFormat/>
    <w:uiPriority w:val="0"/>
    <w:rPr>
      <w:rFonts w:ascii="Cambria" w:hAnsi="Cambria" w:cs="Times New Roman"/>
      <w:b/>
      <w:bCs/>
      <w:kern w:val="2"/>
      <w:sz w:val="32"/>
      <w:szCs w:val="32"/>
    </w:rPr>
  </w:style>
  <w:style w:type="character" w:customStyle="1" w:styleId="18">
    <w:name w:val="正文文本 Char1"/>
    <w:qFormat/>
    <w:uiPriority w:val="0"/>
    <w:rPr>
      <w:kern w:val="2"/>
      <w:sz w:val="21"/>
      <w:szCs w:val="24"/>
    </w:rPr>
  </w:style>
  <w:style w:type="paragraph" w:customStyle="1" w:styleId="19">
    <w:name w:val="标题3"/>
    <w:basedOn w:val="8"/>
    <w:qFormat/>
    <w:uiPriority w:val="0"/>
    <w:rPr>
      <w:rFonts w:eastAsia="楷体"/>
      <w:sz w:val="21"/>
    </w:r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link w:val="20"/>
    <w:qFormat/>
    <w:uiPriority w:val="1"/>
    <w:rPr>
      <w:rFonts w:ascii="Calibri" w:hAnsi="Calibri"/>
      <w:sz w:val="22"/>
      <w:szCs w:val="22"/>
      <w:lang w:val="en-US" w:eastAsia="zh-CN" w:bidi="ar-SA"/>
    </w:rPr>
  </w:style>
  <w:style w:type="paragraph" w:customStyle="1" w:styleId="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3">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B488E5-FFF5-43E7-94EA-37200A917A8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88</Pages>
  <Words>13833</Words>
  <Characters>78850</Characters>
  <Lines>657</Lines>
  <Paragraphs>184</Paragraphs>
  <TotalTime>116</TotalTime>
  <ScaleCrop>false</ScaleCrop>
  <LinksUpToDate>false</LinksUpToDate>
  <CharactersWithSpaces>92499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2021-03-10T02:00:00Z</dcterms:created>
  <dc:creator>微软用户</dc:creator>
  <cp:lastModifiedBy>风车</cp:lastModifiedBy>
  <cp:lastPrinted>2021-03-05T01:35:00Z</cp:lastPrinted>
  <dcterms:modified xsi:type="dcterms:W3CDTF">2021-03-16T09:47:34Z</dcterms:modified>
  <dc:title>广元市拍卖有限公司</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